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0C73" w14:textId="57D0A8FE" w:rsidR="00256872" w:rsidRDefault="00256872" w:rsidP="00E81E05">
      <w:pPr>
        <w:rPr>
          <w:rFonts w:ascii="Arial" w:hAnsi="Arial" w:cs="Arial"/>
          <w:sz w:val="72"/>
          <w:szCs w:val="72"/>
        </w:rPr>
      </w:pPr>
    </w:p>
    <w:p w14:paraId="23BDDF11" w14:textId="69EE5460" w:rsidR="00256872" w:rsidRDefault="00256872" w:rsidP="009E4128">
      <w:pPr>
        <w:spacing w:before="240"/>
        <w:rPr>
          <w:rFonts w:ascii="Arial" w:hAnsi="Arial" w:cs="Arial"/>
          <w:sz w:val="72"/>
          <w:szCs w:val="72"/>
        </w:rPr>
      </w:pPr>
    </w:p>
    <w:p w14:paraId="553BEA3F" w14:textId="092881FD" w:rsidR="00256872" w:rsidRPr="00840F6D" w:rsidRDefault="00256872" w:rsidP="00E81E05">
      <w:pPr>
        <w:rPr>
          <w:rFonts w:ascii="Arial" w:hAnsi="Arial" w:cs="Arial"/>
          <w:color w:val="005EB8"/>
          <w:sz w:val="72"/>
          <w:szCs w:val="72"/>
        </w:rPr>
      </w:pPr>
    </w:p>
    <w:p w14:paraId="5D44B388" w14:textId="5F45E108" w:rsidR="007F5651" w:rsidRPr="007F5651" w:rsidRDefault="007F5651" w:rsidP="007F5651">
      <w:pPr>
        <w:spacing w:line="360" w:lineRule="auto"/>
        <w:rPr>
          <w:rFonts w:ascii="Arial" w:hAnsi="Arial" w:cs="Arial"/>
          <w:b/>
          <w:color w:val="0070C0"/>
          <w:sz w:val="40"/>
          <w:szCs w:val="40"/>
        </w:rPr>
      </w:pPr>
      <w:r w:rsidRPr="007F5651">
        <w:rPr>
          <w:rFonts w:ascii="Arial" w:hAnsi="Arial" w:cs="Arial"/>
          <w:b/>
          <w:color w:val="0070C0"/>
          <w:sz w:val="40"/>
          <w:szCs w:val="40"/>
        </w:rPr>
        <w:t>NHS preparation for implementation of the Liberty Protection Safeguards (LPS)</w:t>
      </w:r>
    </w:p>
    <w:p w14:paraId="7DDF4536" w14:textId="7DDD9ABF" w:rsidR="00E81E05" w:rsidRPr="00840F6D" w:rsidRDefault="00E81E05" w:rsidP="00E81E05">
      <w:pPr>
        <w:rPr>
          <w:rFonts w:ascii="Arial" w:hAnsi="Arial" w:cs="Arial"/>
          <w:color w:val="005EB8"/>
          <w:sz w:val="56"/>
          <w:szCs w:val="56"/>
        </w:rPr>
      </w:pPr>
    </w:p>
    <w:p w14:paraId="549BE013" w14:textId="77777777" w:rsidR="00840F6D" w:rsidRPr="00840F6D" w:rsidRDefault="00840F6D" w:rsidP="00840F6D">
      <w:pPr>
        <w:rPr>
          <w:rFonts w:ascii="Arial" w:hAnsi="Arial" w:cs="Arial"/>
          <w:color w:val="000000" w:themeColor="text1"/>
          <w:sz w:val="32"/>
          <w:szCs w:val="32"/>
        </w:rPr>
      </w:pPr>
    </w:p>
    <w:p w14:paraId="7AF02672" w14:textId="44D0298F" w:rsidR="00840F6D" w:rsidRPr="00840F6D" w:rsidRDefault="005011D6" w:rsidP="00840F6D">
      <w:pPr>
        <w:rPr>
          <w:rFonts w:ascii="Arial" w:hAnsi="Arial" w:cs="Arial"/>
          <w:color w:val="000000" w:themeColor="text1"/>
          <w:sz w:val="32"/>
          <w:szCs w:val="32"/>
        </w:rPr>
      </w:pPr>
      <w:r>
        <w:rPr>
          <w:rFonts w:ascii="Arial" w:hAnsi="Arial" w:cs="Arial"/>
          <w:color w:val="000000" w:themeColor="text1"/>
          <w:sz w:val="32"/>
          <w:szCs w:val="32"/>
        </w:rPr>
        <w:t>April</w:t>
      </w:r>
      <w:r w:rsidR="007F5651">
        <w:rPr>
          <w:rFonts w:ascii="Arial" w:hAnsi="Arial" w:cs="Arial"/>
          <w:color w:val="000000" w:themeColor="text1"/>
          <w:sz w:val="32"/>
          <w:szCs w:val="32"/>
        </w:rPr>
        <w:t xml:space="preserve"> 202</w:t>
      </w:r>
      <w:r w:rsidR="00807A18">
        <w:rPr>
          <w:rFonts w:ascii="Arial" w:hAnsi="Arial" w:cs="Arial"/>
          <w:color w:val="000000" w:themeColor="text1"/>
          <w:sz w:val="32"/>
          <w:szCs w:val="32"/>
        </w:rPr>
        <w:t>1</w:t>
      </w:r>
    </w:p>
    <w:p w14:paraId="5A82F05F" w14:textId="6157E04A" w:rsidR="00E81E05" w:rsidRPr="00840F6D" w:rsidRDefault="00E81E05">
      <w:pPr>
        <w:spacing w:after="160" w:line="259" w:lineRule="auto"/>
        <w:rPr>
          <w:rFonts w:ascii="Arial" w:hAnsi="Arial" w:cs="Arial"/>
          <w:color w:val="005EB8"/>
        </w:rPr>
        <w:sectPr w:rsidR="00E81E05" w:rsidRPr="00840F6D" w:rsidSect="00E81E05">
          <w:headerReference w:type="default" r:id="rId8"/>
          <w:footerReference w:type="default" r:id="rId9"/>
          <w:pgSz w:w="11906" w:h="16838"/>
          <w:pgMar w:top="680" w:right="680" w:bottom="680" w:left="680" w:header="709" w:footer="709" w:gutter="0"/>
          <w:cols w:space="708"/>
          <w:docGrid w:linePitch="360"/>
        </w:sectPr>
      </w:pPr>
    </w:p>
    <w:p w14:paraId="418ED2F6" w14:textId="5B55A5B6" w:rsidR="00837FA0" w:rsidRPr="007F5651" w:rsidRDefault="00837FA0" w:rsidP="00837FA0">
      <w:pPr>
        <w:spacing w:line="360" w:lineRule="auto"/>
        <w:rPr>
          <w:rFonts w:ascii="Arial" w:hAnsi="Arial" w:cs="Arial"/>
          <w:b/>
          <w:color w:val="0070C0"/>
          <w:sz w:val="36"/>
          <w:szCs w:val="36"/>
        </w:rPr>
      </w:pPr>
      <w:r>
        <w:rPr>
          <w:rFonts w:ascii="Arial" w:hAnsi="Arial" w:cs="Arial"/>
          <w:b/>
          <w:color w:val="0070C0"/>
          <w:sz w:val="36"/>
          <w:szCs w:val="36"/>
        </w:rPr>
        <w:lastRenderedPageBreak/>
        <w:t>Foreword</w:t>
      </w:r>
    </w:p>
    <w:p w14:paraId="774716C2" w14:textId="77777777" w:rsidR="00837FA0" w:rsidRDefault="00837FA0" w:rsidP="008231B2">
      <w:pPr>
        <w:spacing w:line="360" w:lineRule="auto"/>
        <w:rPr>
          <w:rFonts w:ascii="Arial" w:eastAsia="Times New Roman" w:hAnsi="Arial" w:cs="Arial"/>
        </w:rPr>
      </w:pPr>
    </w:p>
    <w:p w14:paraId="5A42AD4F" w14:textId="6E45652B" w:rsidR="008231B2" w:rsidRPr="003A36BA" w:rsidRDefault="008231B2" w:rsidP="008231B2">
      <w:pPr>
        <w:spacing w:line="360" w:lineRule="auto"/>
        <w:rPr>
          <w:rFonts w:ascii="Arial" w:hAnsi="Arial" w:cs="Arial"/>
          <w:b/>
          <w:color w:val="0070C0"/>
          <w:sz w:val="36"/>
          <w:szCs w:val="36"/>
        </w:rPr>
      </w:pPr>
      <w:r w:rsidRPr="003A36BA">
        <w:rPr>
          <w:rFonts w:ascii="Arial" w:hAnsi="Arial" w:cs="Arial"/>
          <w:noProof/>
        </w:rPr>
        <w:drawing>
          <wp:anchor distT="0" distB="0" distL="114300" distR="114300" simplePos="0" relativeHeight="251659264" behindDoc="1" locked="0" layoutInCell="1" allowOverlap="1" wp14:anchorId="680E1B2F" wp14:editId="645F5D65">
            <wp:simplePos x="0" y="0"/>
            <wp:positionH relativeFrom="margin">
              <wp:align>left</wp:align>
            </wp:positionH>
            <wp:positionV relativeFrom="paragraph">
              <wp:posOffset>3810</wp:posOffset>
            </wp:positionV>
            <wp:extent cx="1628140" cy="1085850"/>
            <wp:effectExtent l="0" t="0" r="0" b="0"/>
            <wp:wrapTight wrapText="bothSides">
              <wp:wrapPolygon edited="0">
                <wp:start x="0" y="0"/>
                <wp:lineTo x="0" y="21221"/>
                <wp:lineTo x="21229" y="21221"/>
                <wp:lineTo x="212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531" cy="1089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6BA">
        <w:rPr>
          <w:rFonts w:ascii="Arial" w:eastAsia="Times New Roman" w:hAnsi="Arial" w:cs="Arial"/>
        </w:rPr>
        <w:t>Professor Keith Brown </w:t>
      </w:r>
    </w:p>
    <w:p w14:paraId="4AFF851E" w14:textId="77777777" w:rsidR="008231B2" w:rsidRPr="003A36BA" w:rsidRDefault="008231B2" w:rsidP="008231B2">
      <w:pPr>
        <w:rPr>
          <w:rFonts w:ascii="Arial" w:eastAsia="Times New Roman" w:hAnsi="Arial" w:cs="Arial"/>
        </w:rPr>
      </w:pPr>
    </w:p>
    <w:p w14:paraId="47A2AC6F" w14:textId="4B2A3649" w:rsidR="008231B2" w:rsidRPr="003A36BA" w:rsidRDefault="008231B2" w:rsidP="008231B2">
      <w:pPr>
        <w:rPr>
          <w:rFonts w:ascii="Arial" w:eastAsia="Times New Roman" w:hAnsi="Arial" w:cs="Arial"/>
        </w:rPr>
      </w:pPr>
      <w:r w:rsidRPr="003A36BA">
        <w:rPr>
          <w:rFonts w:ascii="Arial" w:eastAsia="Times New Roman" w:hAnsi="Arial" w:cs="Arial"/>
        </w:rPr>
        <w:t>Independent Chair of Safeguarding Adults National Network </w:t>
      </w:r>
    </w:p>
    <w:p w14:paraId="2D71649B" w14:textId="50568693" w:rsidR="008231B2" w:rsidRPr="003A36BA" w:rsidRDefault="008231B2" w:rsidP="008231B2">
      <w:pPr>
        <w:rPr>
          <w:rFonts w:ascii="Arial" w:eastAsia="Times New Roman" w:hAnsi="Arial" w:cs="Arial"/>
        </w:rPr>
      </w:pPr>
    </w:p>
    <w:p w14:paraId="38FA5355" w14:textId="7FC30E7B" w:rsidR="003A36BA" w:rsidRDefault="003A36BA" w:rsidP="007F5651">
      <w:pPr>
        <w:spacing w:line="360" w:lineRule="auto"/>
        <w:rPr>
          <w:rFonts w:ascii="Arial" w:hAnsi="Arial" w:cs="Arial"/>
          <w:b/>
          <w:color w:val="0070C0"/>
          <w:sz w:val="36"/>
          <w:szCs w:val="36"/>
        </w:rPr>
      </w:pPr>
    </w:p>
    <w:p w14:paraId="790F7CF1" w14:textId="77777777" w:rsidR="00837FA0" w:rsidRPr="003A36BA" w:rsidRDefault="00837FA0" w:rsidP="007F5651">
      <w:pPr>
        <w:spacing w:line="360" w:lineRule="auto"/>
        <w:rPr>
          <w:rFonts w:ascii="Arial" w:hAnsi="Arial" w:cs="Arial"/>
          <w:b/>
          <w:color w:val="0070C0"/>
          <w:sz w:val="36"/>
          <w:szCs w:val="36"/>
        </w:rPr>
      </w:pPr>
    </w:p>
    <w:p w14:paraId="74599ECE" w14:textId="6A1ADAE9" w:rsidR="002B40D1" w:rsidRPr="003A36BA" w:rsidRDefault="002B40D1" w:rsidP="002B40D1">
      <w:pPr>
        <w:rPr>
          <w:rFonts w:ascii="Arial" w:hAnsi="Arial" w:cs="Arial"/>
          <w:sz w:val="22"/>
          <w:szCs w:val="22"/>
        </w:rPr>
      </w:pPr>
      <w:r w:rsidRPr="003A36BA">
        <w:rPr>
          <w:rFonts w:ascii="Arial" w:hAnsi="Arial" w:cs="Arial"/>
        </w:rPr>
        <w:t>The Mental Capacity (Amendment) Act 2019 introduce</w:t>
      </w:r>
      <w:r w:rsidR="00B70912">
        <w:rPr>
          <w:rFonts w:ascii="Arial" w:hAnsi="Arial" w:cs="Arial"/>
        </w:rPr>
        <w:t>s</w:t>
      </w:r>
      <w:r w:rsidRPr="003A36BA">
        <w:rPr>
          <w:rFonts w:ascii="Arial" w:hAnsi="Arial" w:cs="Arial"/>
        </w:rPr>
        <w:t xml:space="preserve"> the Liberty Protection Safeguards (LPS). The new system will provide protection for people aged 16 and over who may need to be deprived of their liberty </w:t>
      </w:r>
      <w:proofErr w:type="gramStart"/>
      <w:r w:rsidRPr="003A36BA">
        <w:rPr>
          <w:rFonts w:ascii="Arial" w:hAnsi="Arial" w:cs="Arial"/>
        </w:rPr>
        <w:t>in order to</w:t>
      </w:r>
      <w:proofErr w:type="gramEnd"/>
      <w:r w:rsidRPr="003A36BA">
        <w:rPr>
          <w:rFonts w:ascii="Arial" w:hAnsi="Arial" w:cs="Arial"/>
        </w:rPr>
        <w:t xml:space="preserve"> enable their care or treatment and lack the mental capacity to consent to these arrangements.</w:t>
      </w:r>
    </w:p>
    <w:p w14:paraId="4227EAF4" w14:textId="3993207F" w:rsidR="008231B2" w:rsidRPr="003A36BA" w:rsidRDefault="008231B2" w:rsidP="008231B2">
      <w:pPr>
        <w:rPr>
          <w:rFonts w:ascii="Arial" w:eastAsia="Times New Roman" w:hAnsi="Arial" w:cs="Arial"/>
          <w:sz w:val="22"/>
          <w:szCs w:val="22"/>
        </w:rPr>
      </w:pPr>
      <w:r w:rsidRPr="003A36BA">
        <w:rPr>
          <w:rFonts w:ascii="Arial" w:eastAsia="Times New Roman" w:hAnsi="Arial" w:cs="Arial"/>
        </w:rPr>
        <w:t xml:space="preserve">This publication provides information </w:t>
      </w:r>
      <w:r w:rsidR="002B40D1" w:rsidRPr="003A36BA">
        <w:rPr>
          <w:rFonts w:ascii="Arial" w:hAnsi="Arial" w:cs="Arial"/>
        </w:rPr>
        <w:t>that can be shared within health services so they can prepare for the implementation of LPS in April 2022. The legislation will create new roles for CCG/ICS’s and NHS Trusts in authorising the arrangements, and with less than a year to go it is imperative that system leaders ready their organisations for the changes.</w:t>
      </w:r>
      <w:r w:rsidRPr="003A36BA">
        <w:rPr>
          <w:rFonts w:ascii="Arial" w:hAnsi="Arial" w:cs="Arial"/>
        </w:rPr>
        <w:t xml:space="preserve"> </w:t>
      </w:r>
      <w:r w:rsidRPr="003A36BA">
        <w:rPr>
          <w:rFonts w:ascii="Arial" w:eastAsia="Times New Roman" w:hAnsi="Arial" w:cs="Arial"/>
        </w:rPr>
        <w:t>I would like to express my sincere thanks to David Pennington and Sharon Thomson for taking the time with other SANN members to produce this guidance. It is both timely and informative to the sector. SANN exists as a community of practice and interest to serve its members in the promotion of the best quality safeguarding practice so that ultimately citizens can live lives free from abuse and exploitation. </w:t>
      </w:r>
    </w:p>
    <w:p w14:paraId="2D2E2EF0" w14:textId="788ECD07" w:rsidR="002B40D1" w:rsidRDefault="002B40D1" w:rsidP="002B40D1">
      <w:pPr>
        <w:rPr>
          <w:rFonts w:ascii="Arial" w:hAnsi="Arial" w:cs="Arial"/>
        </w:rPr>
      </w:pPr>
    </w:p>
    <w:p w14:paraId="195C89CB" w14:textId="0E1EFB27" w:rsidR="00837FA0" w:rsidRDefault="00837FA0" w:rsidP="002B40D1">
      <w:pPr>
        <w:rPr>
          <w:rFonts w:ascii="Arial" w:hAnsi="Arial" w:cs="Arial"/>
        </w:rPr>
      </w:pPr>
    </w:p>
    <w:p w14:paraId="435781A4" w14:textId="6D929412" w:rsidR="00837FA0" w:rsidRPr="00837FA0" w:rsidRDefault="00837FA0" w:rsidP="00837FA0">
      <w:pPr>
        <w:spacing w:line="360" w:lineRule="auto"/>
        <w:rPr>
          <w:rFonts w:ascii="Arial" w:hAnsi="Arial" w:cs="Arial"/>
          <w:b/>
          <w:color w:val="0070C0"/>
          <w:sz w:val="36"/>
          <w:szCs w:val="36"/>
        </w:rPr>
      </w:pPr>
      <w:r>
        <w:rPr>
          <w:rFonts w:ascii="Arial" w:hAnsi="Arial" w:cs="Arial"/>
          <w:b/>
          <w:color w:val="0070C0"/>
          <w:sz w:val="36"/>
          <w:szCs w:val="36"/>
        </w:rPr>
        <w:t>Authors</w:t>
      </w:r>
    </w:p>
    <w:p w14:paraId="3AD64246" w14:textId="052A0854" w:rsidR="003A36BA" w:rsidRPr="003A36BA" w:rsidRDefault="003A36BA" w:rsidP="002B40D1">
      <w:pPr>
        <w:rPr>
          <w:rFonts w:ascii="Arial" w:hAnsi="Arial" w:cs="Arial"/>
        </w:rPr>
      </w:pPr>
    </w:p>
    <w:p w14:paraId="1602B5AB" w14:textId="06C2FA7C" w:rsidR="003A36BA" w:rsidRPr="00F13D82" w:rsidRDefault="003A36BA" w:rsidP="003A36BA">
      <w:pPr>
        <w:rPr>
          <w:rFonts w:ascii="Arial" w:hAnsi="Arial" w:cs="Arial"/>
          <w:sz w:val="22"/>
          <w:szCs w:val="22"/>
        </w:rPr>
      </w:pPr>
      <w:r w:rsidRPr="00F13D82">
        <w:rPr>
          <w:rFonts w:ascii="Arial" w:hAnsi="Arial" w:cs="Arial"/>
          <w:noProof/>
        </w:rPr>
        <w:drawing>
          <wp:anchor distT="0" distB="0" distL="114300" distR="114300" simplePos="0" relativeHeight="251660288" behindDoc="1" locked="0" layoutInCell="1" allowOverlap="1" wp14:anchorId="4E843B08" wp14:editId="2284151E">
            <wp:simplePos x="0" y="0"/>
            <wp:positionH relativeFrom="margin">
              <wp:align>left</wp:align>
            </wp:positionH>
            <wp:positionV relativeFrom="paragraph">
              <wp:posOffset>182880</wp:posOffset>
            </wp:positionV>
            <wp:extent cx="1344930" cy="1008380"/>
            <wp:effectExtent l="0" t="3175" r="4445" b="4445"/>
            <wp:wrapTight wrapText="bothSides">
              <wp:wrapPolygon edited="0">
                <wp:start x="-51" y="21532"/>
                <wp:lineTo x="21365" y="21532"/>
                <wp:lineTo x="21365" y="313"/>
                <wp:lineTo x="-51" y="313"/>
                <wp:lineTo x="-51" y="2153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4493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D82">
        <w:rPr>
          <w:rFonts w:ascii="Arial" w:hAnsi="Arial" w:cs="Arial"/>
        </w:rPr>
        <w:t xml:space="preserve">David Pennington, Designated Professional Safeguarding Adults for North Central London CCG based in Islington, has worked for in the NHS for over 20 years. This has included an appointed to the National team responsible for implementing the Mental Capacity Act and Deprivation of Liberty Safeguards and led this </w:t>
      </w:r>
      <w:r w:rsidR="00B70912" w:rsidRPr="00F13D82">
        <w:rPr>
          <w:rFonts w:ascii="Arial" w:hAnsi="Arial" w:cs="Arial"/>
        </w:rPr>
        <w:t xml:space="preserve">work </w:t>
      </w:r>
      <w:r w:rsidRPr="00F13D82">
        <w:rPr>
          <w:rFonts w:ascii="Arial" w:hAnsi="Arial" w:cs="Arial"/>
        </w:rPr>
        <w:t xml:space="preserve">in the South West region. </w:t>
      </w:r>
    </w:p>
    <w:p w14:paraId="07AEFE68" w14:textId="334157AF" w:rsidR="003A36BA" w:rsidRPr="00F13D82" w:rsidRDefault="003A36BA" w:rsidP="002B40D1">
      <w:pPr>
        <w:rPr>
          <w:rFonts w:ascii="Arial" w:hAnsi="Arial" w:cs="Arial"/>
        </w:rPr>
      </w:pPr>
    </w:p>
    <w:p w14:paraId="642FBC5C" w14:textId="1891CD1C" w:rsidR="003A36BA" w:rsidRPr="00F13D82" w:rsidRDefault="003A36BA" w:rsidP="002B40D1">
      <w:pPr>
        <w:rPr>
          <w:rFonts w:ascii="Arial" w:hAnsi="Arial" w:cs="Arial"/>
        </w:rPr>
      </w:pPr>
    </w:p>
    <w:p w14:paraId="4EB7D549" w14:textId="77777777" w:rsidR="00B70912" w:rsidRPr="00F13D82" w:rsidRDefault="00B70912" w:rsidP="002B40D1">
      <w:pPr>
        <w:spacing w:line="360" w:lineRule="auto"/>
        <w:rPr>
          <w:rFonts w:ascii="Arial" w:hAnsi="Arial" w:cs="Arial"/>
        </w:rPr>
      </w:pPr>
    </w:p>
    <w:p w14:paraId="03122FDA" w14:textId="38A6B603" w:rsidR="00B70912" w:rsidRPr="00F13D82" w:rsidRDefault="002B40D1" w:rsidP="005011D6">
      <w:pPr>
        <w:rPr>
          <w:rFonts w:ascii="Arial" w:hAnsi="Arial" w:cs="Arial"/>
          <w:b/>
          <w:color w:val="0070C0"/>
          <w:sz w:val="36"/>
          <w:szCs w:val="36"/>
        </w:rPr>
      </w:pPr>
      <w:bookmarkStart w:id="0" w:name="_Hlk69814634"/>
      <w:r w:rsidRPr="00F13D82">
        <w:rPr>
          <w:rFonts w:ascii="Arial" w:hAnsi="Arial" w:cs="Arial"/>
          <w:noProof/>
        </w:rPr>
        <w:drawing>
          <wp:anchor distT="0" distB="0" distL="114300" distR="114300" simplePos="0" relativeHeight="251658240" behindDoc="1" locked="0" layoutInCell="1" allowOverlap="1" wp14:anchorId="3A432653" wp14:editId="67223A3C">
            <wp:simplePos x="0" y="0"/>
            <wp:positionH relativeFrom="margin">
              <wp:align>left</wp:align>
            </wp:positionH>
            <wp:positionV relativeFrom="paragraph">
              <wp:posOffset>170180</wp:posOffset>
            </wp:positionV>
            <wp:extent cx="1395730" cy="1045845"/>
            <wp:effectExtent l="3492" t="0" r="0" b="0"/>
            <wp:wrapTight wrapText="bothSides">
              <wp:wrapPolygon edited="0">
                <wp:start x="54" y="21672"/>
                <wp:lineTo x="21281" y="21672"/>
                <wp:lineTo x="21281" y="426"/>
                <wp:lineTo x="54" y="426"/>
                <wp:lineTo x="54" y="2167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39573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912" w:rsidRPr="00F13D82">
        <w:rPr>
          <w:rFonts w:ascii="Arial" w:hAnsi="Arial" w:cs="Arial"/>
        </w:rPr>
        <w:t>Sharon Thompson Designated Nurse Safeguarding Adults in South Tyneside CCG has worked within the NHS in both mental health and acute health providers and Clinical Commissioning for over 36 years.</w:t>
      </w:r>
      <w:r w:rsidR="00B70912" w:rsidRPr="00F13D82">
        <w:rPr>
          <w:rFonts w:ascii="Arial" w:hAnsi="Arial" w:cs="Arial"/>
          <w:b/>
          <w:color w:val="0070C0"/>
          <w:sz w:val="36"/>
          <w:szCs w:val="36"/>
        </w:rPr>
        <w:t xml:space="preserve"> </w:t>
      </w:r>
      <w:r w:rsidR="00B70912" w:rsidRPr="00F13D82">
        <w:rPr>
          <w:rFonts w:ascii="Arial" w:hAnsi="Arial" w:cs="Arial"/>
        </w:rPr>
        <w:t xml:space="preserve">She welcomed the Mental Capacity Act 2005, (MC(Amendment)A 2019) with its strength based in human rights, she was one of the </w:t>
      </w:r>
      <w:r w:rsidR="00F13D82">
        <w:rPr>
          <w:rFonts w:ascii="Arial" w:hAnsi="Arial" w:cs="Arial"/>
        </w:rPr>
        <w:t>first</w:t>
      </w:r>
      <w:r w:rsidR="00B70912" w:rsidRPr="00F13D82">
        <w:rPr>
          <w:rFonts w:ascii="Arial" w:hAnsi="Arial" w:cs="Arial"/>
        </w:rPr>
        <w:t xml:space="preserve"> emerging Mental Capacity Act leads in an Acute health Trust and became a Best interests Assessor </w:t>
      </w:r>
      <w:r w:rsidR="00837FA0" w:rsidRPr="00F13D82">
        <w:rPr>
          <w:rFonts w:ascii="Arial" w:hAnsi="Arial" w:cs="Arial"/>
        </w:rPr>
        <w:t>for</w:t>
      </w:r>
      <w:r w:rsidR="00B70912" w:rsidRPr="00F13D82">
        <w:rPr>
          <w:rFonts w:ascii="Arial" w:hAnsi="Arial" w:cs="Arial"/>
        </w:rPr>
        <w:t xml:space="preserve"> Deprivation </w:t>
      </w:r>
      <w:r w:rsidR="00F13D82" w:rsidRPr="00F13D82">
        <w:rPr>
          <w:rFonts w:ascii="Arial" w:hAnsi="Arial" w:cs="Arial"/>
        </w:rPr>
        <w:t>of</w:t>
      </w:r>
      <w:r w:rsidR="00B70912" w:rsidRPr="00F13D82">
        <w:rPr>
          <w:rFonts w:ascii="Arial" w:hAnsi="Arial" w:cs="Arial"/>
        </w:rPr>
        <w:t xml:space="preserve"> Liberty Safeguards. </w:t>
      </w:r>
    </w:p>
    <w:p w14:paraId="5EA3089F" w14:textId="6BC274E4" w:rsidR="00B70912" w:rsidRDefault="00B70912" w:rsidP="00B70912">
      <w:pPr>
        <w:spacing w:line="360" w:lineRule="auto"/>
        <w:rPr>
          <w:rFonts w:ascii="Arial" w:hAnsi="Arial" w:cs="Arial"/>
        </w:rPr>
      </w:pPr>
    </w:p>
    <w:bookmarkEnd w:id="0"/>
    <w:p w14:paraId="0C5E8300" w14:textId="77777777" w:rsidR="00B70912" w:rsidRDefault="00B70912" w:rsidP="002B40D1">
      <w:pPr>
        <w:rPr>
          <w:rFonts w:ascii="Arial" w:hAnsi="Arial" w:cs="Arial"/>
        </w:rPr>
      </w:pPr>
    </w:p>
    <w:p w14:paraId="704CC136" w14:textId="77777777" w:rsidR="00837FA0" w:rsidRDefault="00837FA0" w:rsidP="007F5651">
      <w:pPr>
        <w:spacing w:line="360" w:lineRule="auto"/>
        <w:rPr>
          <w:rFonts w:ascii="Arial" w:hAnsi="Arial" w:cs="Arial"/>
        </w:rPr>
      </w:pPr>
    </w:p>
    <w:p w14:paraId="6F3D19FB" w14:textId="77777777" w:rsidR="005011D6" w:rsidRDefault="005011D6" w:rsidP="007F5651">
      <w:pPr>
        <w:spacing w:line="360" w:lineRule="auto"/>
        <w:rPr>
          <w:rFonts w:ascii="Arial" w:hAnsi="Arial" w:cs="Arial"/>
          <w:b/>
          <w:color w:val="0070C0"/>
          <w:sz w:val="36"/>
          <w:szCs w:val="36"/>
        </w:rPr>
      </w:pPr>
    </w:p>
    <w:p w14:paraId="31FA77B9" w14:textId="77777777" w:rsidR="005011D6" w:rsidRDefault="005011D6" w:rsidP="007F5651">
      <w:pPr>
        <w:spacing w:line="360" w:lineRule="auto"/>
        <w:rPr>
          <w:rFonts w:ascii="Arial" w:hAnsi="Arial" w:cs="Arial"/>
          <w:b/>
          <w:color w:val="0070C0"/>
          <w:sz w:val="36"/>
          <w:szCs w:val="36"/>
        </w:rPr>
      </w:pPr>
    </w:p>
    <w:p w14:paraId="62CDF0A4" w14:textId="5E991654" w:rsidR="007F5651" w:rsidRPr="007F5651" w:rsidRDefault="007F5651" w:rsidP="007F5651">
      <w:pPr>
        <w:spacing w:line="360" w:lineRule="auto"/>
        <w:rPr>
          <w:rFonts w:ascii="Arial" w:hAnsi="Arial" w:cs="Arial"/>
          <w:b/>
          <w:color w:val="0070C0"/>
          <w:sz w:val="36"/>
          <w:szCs w:val="36"/>
        </w:rPr>
      </w:pPr>
      <w:r w:rsidRPr="007F5651">
        <w:rPr>
          <w:rFonts w:ascii="Arial" w:hAnsi="Arial" w:cs="Arial"/>
          <w:b/>
          <w:color w:val="0070C0"/>
          <w:sz w:val="36"/>
          <w:szCs w:val="36"/>
        </w:rPr>
        <w:t>Purpose</w:t>
      </w:r>
    </w:p>
    <w:p w14:paraId="1195AB0F" w14:textId="015C560D" w:rsidR="007F5651" w:rsidRPr="0049512C" w:rsidRDefault="007F5651" w:rsidP="007F5651">
      <w:pPr>
        <w:spacing w:line="360" w:lineRule="auto"/>
        <w:rPr>
          <w:rFonts w:ascii="Arial" w:hAnsi="Arial" w:cs="Arial"/>
        </w:rPr>
      </w:pPr>
      <w:r w:rsidRPr="0049512C">
        <w:rPr>
          <w:rFonts w:ascii="Arial" w:hAnsi="Arial" w:cs="Arial"/>
        </w:rPr>
        <w:t xml:space="preserve">The purpose of this </w:t>
      </w:r>
      <w:r w:rsidR="003652E2">
        <w:rPr>
          <w:rFonts w:ascii="Arial" w:hAnsi="Arial" w:cs="Arial"/>
        </w:rPr>
        <w:t>guide</w:t>
      </w:r>
      <w:r w:rsidR="000D4479">
        <w:rPr>
          <w:rFonts w:ascii="Arial" w:hAnsi="Arial" w:cs="Arial"/>
        </w:rPr>
        <w:t xml:space="preserve"> </w:t>
      </w:r>
      <w:r w:rsidRPr="0049512C">
        <w:rPr>
          <w:rFonts w:ascii="Arial" w:hAnsi="Arial" w:cs="Arial"/>
        </w:rPr>
        <w:t xml:space="preserve">is to explain changes significant to </w:t>
      </w:r>
      <w:r>
        <w:rPr>
          <w:rFonts w:ascii="Arial" w:hAnsi="Arial" w:cs="Arial"/>
        </w:rPr>
        <w:t xml:space="preserve">the </w:t>
      </w:r>
      <w:r w:rsidRPr="0049512C">
        <w:rPr>
          <w:rFonts w:ascii="Arial" w:hAnsi="Arial" w:cs="Arial"/>
        </w:rPr>
        <w:t>NHS resulting from the Mental Capacity (Amendment) Act 2019 (MCAA), which introduces the Liberty Protection Safeguards (LPS) scheme. It should be noted that this guide is subject to change, and is not a replacement for receiving your</w:t>
      </w:r>
      <w:r>
        <w:rPr>
          <w:rFonts w:ascii="Arial" w:hAnsi="Arial" w:cs="Arial"/>
        </w:rPr>
        <w:t xml:space="preserve"> own</w:t>
      </w:r>
      <w:r w:rsidRPr="0049512C">
        <w:rPr>
          <w:rFonts w:ascii="Arial" w:hAnsi="Arial" w:cs="Arial"/>
        </w:rPr>
        <w:t xml:space="preserve"> legal guidance</w:t>
      </w:r>
    </w:p>
    <w:p w14:paraId="35D00C02" w14:textId="77777777" w:rsidR="007F5651" w:rsidRDefault="007F5651" w:rsidP="007F5651">
      <w:pPr>
        <w:spacing w:line="360" w:lineRule="auto"/>
        <w:rPr>
          <w:rFonts w:ascii="Arial" w:hAnsi="Arial" w:cs="Arial"/>
        </w:rPr>
      </w:pPr>
    </w:p>
    <w:p w14:paraId="09696CFD" w14:textId="77777777" w:rsidR="007F5651" w:rsidRPr="007F5651" w:rsidRDefault="007F5651" w:rsidP="007F5651">
      <w:pPr>
        <w:spacing w:line="360" w:lineRule="auto"/>
        <w:rPr>
          <w:rFonts w:ascii="Arial" w:hAnsi="Arial" w:cs="Arial"/>
          <w:b/>
          <w:color w:val="0070C0"/>
          <w:sz w:val="36"/>
          <w:szCs w:val="36"/>
        </w:rPr>
      </w:pPr>
      <w:r w:rsidRPr="007F5651">
        <w:rPr>
          <w:rFonts w:ascii="Arial" w:hAnsi="Arial" w:cs="Arial"/>
          <w:b/>
          <w:color w:val="0070C0"/>
          <w:sz w:val="36"/>
          <w:szCs w:val="36"/>
        </w:rPr>
        <w:t>Introduction</w:t>
      </w:r>
    </w:p>
    <w:p w14:paraId="2C86EB98" w14:textId="023EA4CA" w:rsidR="007F5651" w:rsidRPr="0049512C" w:rsidRDefault="007F5651" w:rsidP="007F5651">
      <w:pPr>
        <w:spacing w:line="360" w:lineRule="auto"/>
        <w:rPr>
          <w:rFonts w:ascii="Arial" w:eastAsia="Calibri" w:hAnsi="Arial" w:cs="Arial"/>
        </w:rPr>
      </w:pPr>
      <w:r w:rsidRPr="0049512C">
        <w:rPr>
          <w:rFonts w:ascii="Arial" w:eastAsia="Calibri" w:hAnsi="Arial" w:cs="Arial"/>
          <w:lang w:val="en"/>
        </w:rPr>
        <w:t xml:space="preserve">The right to liberty is enshrined through Article 5 of the </w:t>
      </w:r>
      <w:r w:rsidR="005A7514">
        <w:rPr>
          <w:rFonts w:ascii="Arial" w:eastAsia="Calibri" w:hAnsi="Arial" w:cs="Arial"/>
          <w:lang w:val="en"/>
        </w:rPr>
        <w:t xml:space="preserve">European Convention of Human Rights (ECHR), incorporated into domestic law by the </w:t>
      </w:r>
      <w:r w:rsidRPr="0049512C">
        <w:rPr>
          <w:rFonts w:ascii="Arial" w:eastAsia="Calibri" w:hAnsi="Arial" w:cs="Arial"/>
          <w:lang w:val="en"/>
        </w:rPr>
        <w:t xml:space="preserve">Human Rights Act 1998 (HRA). </w:t>
      </w:r>
      <w:r w:rsidR="005A7514">
        <w:rPr>
          <w:rFonts w:ascii="Arial" w:eastAsia="Calibri" w:hAnsi="Arial" w:cs="Arial"/>
          <w:lang w:val="en"/>
        </w:rPr>
        <w:t xml:space="preserve">An </w:t>
      </w:r>
      <w:r w:rsidRPr="0049512C">
        <w:rPr>
          <w:rFonts w:ascii="Arial" w:eastAsia="Calibri" w:hAnsi="Arial" w:cs="Arial"/>
          <w:lang w:val="en"/>
        </w:rPr>
        <w:t>individual</w:t>
      </w:r>
      <w:r w:rsidR="005A7514">
        <w:rPr>
          <w:rFonts w:ascii="Arial" w:eastAsia="Calibri" w:hAnsi="Arial" w:cs="Arial"/>
          <w:lang w:val="en"/>
        </w:rPr>
        <w:t xml:space="preserve"> should only be deprived of their</w:t>
      </w:r>
      <w:r w:rsidRPr="0049512C">
        <w:rPr>
          <w:rFonts w:ascii="Arial" w:eastAsia="Calibri" w:hAnsi="Arial" w:cs="Arial"/>
          <w:lang w:val="en"/>
        </w:rPr>
        <w:t xml:space="preserve"> liberty </w:t>
      </w:r>
      <w:r w:rsidR="004F1D26">
        <w:rPr>
          <w:rFonts w:ascii="Arial" w:eastAsia="Calibri" w:hAnsi="Arial" w:cs="Arial"/>
          <w:lang w:val="en"/>
        </w:rPr>
        <w:t>(</w:t>
      </w:r>
      <w:proofErr w:type="spellStart"/>
      <w:r w:rsidR="004F1D26">
        <w:rPr>
          <w:rFonts w:ascii="Arial" w:eastAsia="Calibri" w:hAnsi="Arial" w:cs="Arial"/>
          <w:lang w:val="en"/>
        </w:rPr>
        <w:t>DoL</w:t>
      </w:r>
      <w:proofErr w:type="spellEnd"/>
      <w:r w:rsidR="004F1D26">
        <w:rPr>
          <w:rFonts w:ascii="Arial" w:eastAsia="Calibri" w:hAnsi="Arial" w:cs="Arial"/>
          <w:lang w:val="en"/>
        </w:rPr>
        <w:t xml:space="preserve">) </w:t>
      </w:r>
      <w:r w:rsidRPr="0049512C">
        <w:rPr>
          <w:rFonts w:ascii="Arial" w:eastAsia="Calibri" w:hAnsi="Arial" w:cs="Arial"/>
          <w:lang w:val="en"/>
        </w:rPr>
        <w:t>through a lawful procedure</w:t>
      </w:r>
      <w:r w:rsidRPr="0049512C">
        <w:rPr>
          <w:rFonts w:ascii="Arial" w:eastAsia="Calibri" w:hAnsi="Arial" w:cs="Arial"/>
        </w:rPr>
        <w:t>, for example that related to the criminal justice process or the Mental Health Act (</w:t>
      </w:r>
      <w:r w:rsidR="005A7514">
        <w:rPr>
          <w:rFonts w:ascii="Arial" w:eastAsia="Calibri" w:hAnsi="Arial" w:cs="Arial"/>
        </w:rPr>
        <w:t xml:space="preserve">1983, as amended in </w:t>
      </w:r>
      <w:r w:rsidRPr="0049512C">
        <w:rPr>
          <w:rFonts w:ascii="Arial" w:eastAsia="Calibri" w:hAnsi="Arial" w:cs="Arial"/>
        </w:rPr>
        <w:t>2007)</w:t>
      </w:r>
      <w:r w:rsidR="005A7514">
        <w:rPr>
          <w:rFonts w:ascii="Arial" w:eastAsia="Calibri" w:hAnsi="Arial" w:cs="Arial"/>
        </w:rPr>
        <w:t>, and subject to appropriate procedural safeguards</w:t>
      </w:r>
      <w:r w:rsidR="004F1D26">
        <w:rPr>
          <w:rFonts w:ascii="Arial" w:eastAsia="Calibri" w:hAnsi="Arial" w:cs="Arial"/>
        </w:rPr>
        <w:t xml:space="preserve">, including a right to challenge that </w:t>
      </w:r>
      <w:proofErr w:type="spellStart"/>
      <w:r w:rsidR="004F1D26">
        <w:rPr>
          <w:rFonts w:ascii="Arial" w:eastAsia="Calibri" w:hAnsi="Arial" w:cs="Arial"/>
        </w:rPr>
        <w:t>DoL</w:t>
      </w:r>
      <w:r w:rsidRPr="0049512C">
        <w:rPr>
          <w:rFonts w:ascii="Arial" w:eastAsia="Calibri" w:hAnsi="Arial" w:cs="Arial"/>
        </w:rPr>
        <w:t>.</w:t>
      </w:r>
      <w:proofErr w:type="spellEnd"/>
    </w:p>
    <w:p w14:paraId="4F08FD36" w14:textId="35861928" w:rsidR="007F5651" w:rsidRPr="0049512C" w:rsidRDefault="005A7514" w:rsidP="007F5651">
      <w:pPr>
        <w:spacing w:line="360" w:lineRule="auto"/>
        <w:rPr>
          <w:rFonts w:ascii="Arial" w:eastAsia="Calibri" w:hAnsi="Arial" w:cs="Arial"/>
          <w:lang w:val="en"/>
        </w:rPr>
      </w:pPr>
      <w:r>
        <w:rPr>
          <w:rFonts w:ascii="Arial" w:eastAsia="Calibri" w:hAnsi="Arial" w:cs="Arial"/>
          <w:lang w:val="en"/>
        </w:rPr>
        <w:t>In the health and care context, a</w:t>
      </w:r>
      <w:r w:rsidR="007F5651" w:rsidRPr="0049512C">
        <w:rPr>
          <w:rFonts w:ascii="Arial" w:eastAsia="Calibri" w:hAnsi="Arial" w:cs="Arial"/>
          <w:lang w:val="en"/>
        </w:rPr>
        <w:t xml:space="preserve"> person </w:t>
      </w:r>
      <w:r>
        <w:rPr>
          <w:rFonts w:ascii="Arial" w:eastAsia="Calibri" w:hAnsi="Arial" w:cs="Arial"/>
          <w:lang w:val="en"/>
        </w:rPr>
        <w:t xml:space="preserve">is regarded as </w:t>
      </w:r>
      <w:r w:rsidR="007F5651" w:rsidRPr="0049512C">
        <w:rPr>
          <w:rFonts w:ascii="Arial" w:eastAsia="Calibri" w:hAnsi="Arial" w:cs="Arial"/>
          <w:lang w:val="en"/>
        </w:rPr>
        <w:t xml:space="preserve">deprived of their liberty </w:t>
      </w:r>
      <w:proofErr w:type="gramStart"/>
      <w:r w:rsidR="007F5651" w:rsidRPr="0049512C">
        <w:rPr>
          <w:rFonts w:ascii="Arial" w:eastAsia="Calibri" w:hAnsi="Arial" w:cs="Arial"/>
          <w:lang w:val="en"/>
        </w:rPr>
        <w:t>if;</w:t>
      </w:r>
      <w:proofErr w:type="gramEnd"/>
      <w:r w:rsidR="007F5651" w:rsidRPr="0049512C">
        <w:rPr>
          <w:rFonts w:ascii="Arial" w:eastAsia="Calibri" w:hAnsi="Arial" w:cs="Arial"/>
          <w:lang w:val="en"/>
        </w:rPr>
        <w:t xml:space="preserve"> </w:t>
      </w:r>
    </w:p>
    <w:p w14:paraId="26E6D60A" w14:textId="77777777" w:rsidR="007F5651" w:rsidRPr="0049512C" w:rsidRDefault="007F5651" w:rsidP="007F5651">
      <w:pPr>
        <w:numPr>
          <w:ilvl w:val="0"/>
          <w:numId w:val="1"/>
        </w:numPr>
        <w:spacing w:line="360" w:lineRule="auto"/>
        <w:rPr>
          <w:rFonts w:ascii="Arial" w:eastAsia="Calibri" w:hAnsi="Arial" w:cs="Arial"/>
        </w:rPr>
      </w:pPr>
      <w:r w:rsidRPr="0049512C">
        <w:rPr>
          <w:rFonts w:ascii="Arial" w:eastAsia="Calibri" w:hAnsi="Arial" w:cs="Arial"/>
        </w:rPr>
        <w:t>the person lacks mental capacity to consent to their accommodation for the purposes of care/ treatment</w:t>
      </w:r>
    </w:p>
    <w:p w14:paraId="00ADF3CF" w14:textId="476D1A05" w:rsidR="007F5651" w:rsidRPr="0049512C" w:rsidRDefault="007F5651" w:rsidP="007F5651">
      <w:pPr>
        <w:numPr>
          <w:ilvl w:val="0"/>
          <w:numId w:val="1"/>
        </w:numPr>
        <w:spacing w:line="360" w:lineRule="auto"/>
        <w:rPr>
          <w:rFonts w:ascii="Arial" w:eastAsia="Calibri" w:hAnsi="Arial" w:cs="Arial"/>
        </w:rPr>
      </w:pPr>
      <w:r w:rsidRPr="0049512C">
        <w:rPr>
          <w:rFonts w:ascii="Arial" w:eastAsia="Calibri" w:hAnsi="Arial" w:cs="Arial"/>
        </w:rPr>
        <w:t xml:space="preserve">the care amounts to </w:t>
      </w:r>
      <w:r w:rsidR="005A7514">
        <w:rPr>
          <w:rFonts w:ascii="Arial" w:eastAsia="Calibri" w:hAnsi="Arial" w:cs="Arial"/>
        </w:rPr>
        <w:t>“</w:t>
      </w:r>
      <w:r w:rsidRPr="0049512C">
        <w:rPr>
          <w:rFonts w:ascii="Arial" w:eastAsia="Calibri" w:hAnsi="Arial" w:cs="Arial"/>
        </w:rPr>
        <w:t>continuous supervision and control</w:t>
      </w:r>
      <w:r w:rsidR="005A7514">
        <w:rPr>
          <w:rFonts w:ascii="Arial" w:eastAsia="Calibri" w:hAnsi="Arial" w:cs="Arial"/>
        </w:rPr>
        <w:t>”</w:t>
      </w:r>
      <w:r w:rsidRPr="0049512C">
        <w:rPr>
          <w:rFonts w:ascii="Arial" w:eastAsia="Calibri" w:hAnsi="Arial" w:cs="Arial"/>
        </w:rPr>
        <w:t xml:space="preserve"> </w:t>
      </w:r>
      <w:r w:rsidRPr="0049512C">
        <w:rPr>
          <w:rFonts w:ascii="Arial" w:eastAsia="Calibri" w:hAnsi="Arial" w:cs="Arial"/>
          <w:u w:val="single"/>
        </w:rPr>
        <w:t>and</w:t>
      </w:r>
      <w:r w:rsidRPr="0049512C">
        <w:rPr>
          <w:rFonts w:ascii="Arial" w:eastAsia="Calibri" w:hAnsi="Arial" w:cs="Arial"/>
        </w:rPr>
        <w:t xml:space="preserve"> they are </w:t>
      </w:r>
      <w:r w:rsidR="005A7514">
        <w:rPr>
          <w:rFonts w:ascii="Arial" w:eastAsia="Calibri" w:hAnsi="Arial" w:cs="Arial"/>
        </w:rPr>
        <w:t>“</w:t>
      </w:r>
      <w:r w:rsidRPr="0049512C">
        <w:rPr>
          <w:rFonts w:ascii="Arial" w:eastAsia="Calibri" w:hAnsi="Arial" w:cs="Arial"/>
        </w:rPr>
        <w:t>not free to leave</w:t>
      </w:r>
      <w:r w:rsidR="005A7514">
        <w:rPr>
          <w:rFonts w:ascii="Arial" w:eastAsia="Calibri" w:hAnsi="Arial" w:cs="Arial"/>
        </w:rPr>
        <w:t>” (in the sense of being able to go to live somewhere else)</w:t>
      </w:r>
    </w:p>
    <w:p w14:paraId="2C6F0C31" w14:textId="5042A232" w:rsidR="007F5651" w:rsidRPr="0049512C" w:rsidRDefault="007F5651" w:rsidP="007F5651">
      <w:pPr>
        <w:numPr>
          <w:ilvl w:val="0"/>
          <w:numId w:val="1"/>
        </w:numPr>
        <w:spacing w:line="360" w:lineRule="auto"/>
        <w:rPr>
          <w:rFonts w:ascii="Arial" w:eastAsia="Calibri" w:hAnsi="Arial" w:cs="Arial"/>
        </w:rPr>
      </w:pPr>
      <w:r w:rsidRPr="0049512C">
        <w:rPr>
          <w:rFonts w:ascii="Arial" w:eastAsia="Calibri" w:hAnsi="Arial" w:cs="Arial"/>
        </w:rPr>
        <w:t>the care arrangements are attributable (in whole or in part) to the state</w:t>
      </w:r>
      <w:r w:rsidR="005A7514">
        <w:rPr>
          <w:rFonts w:ascii="Arial" w:eastAsia="Calibri" w:hAnsi="Arial" w:cs="Arial"/>
        </w:rPr>
        <w:t xml:space="preserve"> (which will include any case where the NHS or local authority is involved in providing or commissioning the relevant </w:t>
      </w:r>
      <w:proofErr w:type="gramStart"/>
      <w:r w:rsidR="005A7514">
        <w:rPr>
          <w:rFonts w:ascii="Arial" w:eastAsia="Calibri" w:hAnsi="Arial" w:cs="Arial"/>
        </w:rPr>
        <w:t>care, or</w:t>
      </w:r>
      <w:proofErr w:type="gramEnd"/>
      <w:r w:rsidR="005A7514">
        <w:rPr>
          <w:rFonts w:ascii="Arial" w:eastAsia="Calibri" w:hAnsi="Arial" w:cs="Arial"/>
        </w:rPr>
        <w:t xml:space="preserve"> is aware of it). </w:t>
      </w:r>
    </w:p>
    <w:p w14:paraId="3B336BED" w14:textId="5AE246E6" w:rsidR="007F5651" w:rsidRDefault="005A7514" w:rsidP="007F5651">
      <w:pPr>
        <w:spacing w:line="360" w:lineRule="auto"/>
        <w:rPr>
          <w:rFonts w:ascii="Arial" w:eastAsia="Calibri" w:hAnsi="Arial" w:cs="Arial"/>
        </w:rPr>
      </w:pPr>
      <w:r>
        <w:rPr>
          <w:rFonts w:ascii="Arial" w:eastAsia="Calibri" w:hAnsi="Arial" w:cs="Arial"/>
        </w:rPr>
        <w:t xml:space="preserve">This is called the “acid test” from the Supreme Court case of </w:t>
      </w:r>
      <w:r w:rsidRPr="00975D62">
        <w:rPr>
          <w:rFonts w:ascii="Arial" w:eastAsia="Calibri" w:hAnsi="Arial" w:cs="Arial"/>
          <w:i/>
          <w:u w:val="single"/>
        </w:rPr>
        <w:t>Cheshire West</w:t>
      </w:r>
      <w:r>
        <w:rPr>
          <w:rFonts w:ascii="Arial" w:eastAsia="Calibri" w:hAnsi="Arial" w:cs="Arial"/>
        </w:rPr>
        <w:t xml:space="preserve">, which was in the context of </w:t>
      </w:r>
      <w:r w:rsidR="00F41CBA">
        <w:rPr>
          <w:rFonts w:ascii="Arial" w:eastAsia="Calibri" w:hAnsi="Arial" w:cs="Arial"/>
        </w:rPr>
        <w:t>long-term</w:t>
      </w:r>
      <w:r>
        <w:rPr>
          <w:rFonts w:ascii="Arial" w:eastAsia="Calibri" w:hAnsi="Arial" w:cs="Arial"/>
        </w:rPr>
        <w:t xml:space="preserve"> residential care placements.  </w:t>
      </w:r>
      <w:r w:rsidR="004F1D26">
        <w:rPr>
          <w:rFonts w:ascii="Arial" w:eastAsia="Calibri" w:hAnsi="Arial" w:cs="Arial"/>
        </w:rPr>
        <w:t xml:space="preserve">The Court of Appeal (in </w:t>
      </w:r>
      <w:r w:rsidR="004F1D26" w:rsidRPr="00975D62">
        <w:rPr>
          <w:rFonts w:ascii="Arial" w:eastAsia="Calibri" w:hAnsi="Arial" w:cs="Arial"/>
          <w:i/>
          <w:u w:val="single"/>
        </w:rPr>
        <w:t>Ferreira</w:t>
      </w:r>
      <w:r w:rsidR="004F1D26">
        <w:rPr>
          <w:rFonts w:ascii="Arial" w:eastAsia="Calibri" w:hAnsi="Arial" w:cs="Arial"/>
        </w:rPr>
        <w:t xml:space="preserve">) has held that it should not be applied literally to the different context of provision of life-saving medical treatment in hospital, but the way this should work in practice, alongside MCAA reforms to the law for emergency situations, will be addressed in the Code of Practice.   </w:t>
      </w:r>
    </w:p>
    <w:p w14:paraId="5096B606" w14:textId="3DA67F58" w:rsidR="005A7514" w:rsidRDefault="005A7514" w:rsidP="007F5651">
      <w:pPr>
        <w:spacing w:line="360" w:lineRule="auto"/>
        <w:rPr>
          <w:rFonts w:ascii="Arial" w:eastAsia="Calibri" w:hAnsi="Arial" w:cs="Arial"/>
        </w:rPr>
      </w:pPr>
    </w:p>
    <w:p w14:paraId="37702DC8" w14:textId="77777777" w:rsidR="005A7514" w:rsidRPr="0049512C" w:rsidRDefault="005A7514" w:rsidP="007F5651">
      <w:pPr>
        <w:spacing w:line="360" w:lineRule="auto"/>
        <w:rPr>
          <w:rFonts w:ascii="Arial" w:eastAsia="Calibri" w:hAnsi="Arial" w:cs="Arial"/>
        </w:rPr>
      </w:pPr>
    </w:p>
    <w:p w14:paraId="3D883E03" w14:textId="41A7835B" w:rsidR="003E5F60" w:rsidRPr="0049512C" w:rsidRDefault="007F5651" w:rsidP="003E5F60">
      <w:pPr>
        <w:spacing w:line="360" w:lineRule="auto"/>
        <w:rPr>
          <w:rFonts w:ascii="Arial" w:eastAsia="Calibri" w:hAnsi="Arial" w:cs="Arial"/>
          <w:lang w:val="en"/>
        </w:rPr>
      </w:pPr>
      <w:r w:rsidRPr="0049512C">
        <w:rPr>
          <w:rFonts w:ascii="Arial" w:eastAsia="Calibri" w:hAnsi="Arial" w:cs="Arial"/>
          <w:lang w:val="en"/>
        </w:rPr>
        <w:t xml:space="preserve">When </w:t>
      </w:r>
      <w:r w:rsidR="005A7514">
        <w:rPr>
          <w:rFonts w:ascii="Arial" w:eastAsia="Calibri" w:hAnsi="Arial" w:cs="Arial"/>
          <w:lang w:val="en"/>
        </w:rPr>
        <w:t>it appears that there is a deprivation of liberty</w:t>
      </w:r>
      <w:r w:rsidRPr="0049512C">
        <w:rPr>
          <w:rFonts w:ascii="Arial" w:eastAsia="Calibri" w:hAnsi="Arial" w:cs="Arial"/>
          <w:lang w:val="en"/>
        </w:rPr>
        <w:t xml:space="preserve">, </w:t>
      </w:r>
      <w:r w:rsidR="004F1D26">
        <w:rPr>
          <w:rFonts w:ascii="Arial" w:eastAsia="Calibri" w:hAnsi="Arial" w:cs="Arial"/>
          <w:lang w:val="en"/>
        </w:rPr>
        <w:t>this</w:t>
      </w:r>
      <w:r w:rsidRPr="0049512C">
        <w:rPr>
          <w:rFonts w:ascii="Arial" w:eastAsia="Calibri" w:hAnsi="Arial" w:cs="Arial"/>
          <w:lang w:val="en"/>
        </w:rPr>
        <w:t xml:space="preserve"> must be </w:t>
      </w:r>
      <w:proofErr w:type="spellStart"/>
      <w:r w:rsidR="004F1D26">
        <w:rPr>
          <w:rFonts w:ascii="Arial" w:eastAsia="Calibri" w:hAnsi="Arial" w:cs="Arial"/>
          <w:lang w:val="en"/>
        </w:rPr>
        <w:t>scrutinised</w:t>
      </w:r>
      <w:proofErr w:type="spellEnd"/>
      <w:r w:rsidR="004F1D26">
        <w:rPr>
          <w:rFonts w:ascii="Arial" w:eastAsia="Calibri" w:hAnsi="Arial" w:cs="Arial"/>
          <w:lang w:val="en"/>
        </w:rPr>
        <w:t xml:space="preserve"> and, if appropriate, </w:t>
      </w:r>
      <w:proofErr w:type="spellStart"/>
      <w:r w:rsidRPr="0049512C">
        <w:rPr>
          <w:rFonts w:ascii="Arial" w:eastAsia="Calibri" w:hAnsi="Arial" w:cs="Arial"/>
          <w:lang w:val="en"/>
        </w:rPr>
        <w:t>authorised</w:t>
      </w:r>
      <w:proofErr w:type="spellEnd"/>
      <w:r w:rsidRPr="0049512C">
        <w:rPr>
          <w:rFonts w:ascii="Arial" w:eastAsia="Calibri" w:hAnsi="Arial" w:cs="Arial"/>
          <w:lang w:val="en"/>
        </w:rPr>
        <w:t xml:space="preserve"> through </w:t>
      </w:r>
      <w:r w:rsidR="004F1D26">
        <w:rPr>
          <w:rFonts w:ascii="Arial" w:eastAsia="Calibri" w:hAnsi="Arial" w:cs="Arial"/>
          <w:lang w:val="en"/>
        </w:rPr>
        <w:t xml:space="preserve">a </w:t>
      </w:r>
      <w:r w:rsidRPr="0049512C">
        <w:rPr>
          <w:rFonts w:ascii="Arial" w:eastAsia="Calibri" w:hAnsi="Arial" w:cs="Arial"/>
          <w:lang w:val="en"/>
        </w:rPr>
        <w:t xml:space="preserve">lawful procedure, primarily to allow the person to exercise their rights under the </w:t>
      </w:r>
      <w:r w:rsidR="005A7514">
        <w:rPr>
          <w:rFonts w:ascii="Arial" w:eastAsia="Calibri" w:hAnsi="Arial" w:cs="Arial"/>
          <w:lang w:val="en"/>
        </w:rPr>
        <w:t xml:space="preserve">ECHR / </w:t>
      </w:r>
      <w:r w:rsidRPr="0049512C">
        <w:rPr>
          <w:rFonts w:ascii="Arial" w:eastAsia="Calibri" w:hAnsi="Arial" w:cs="Arial"/>
          <w:lang w:val="en"/>
        </w:rPr>
        <w:t>HRA.</w:t>
      </w:r>
      <w:r w:rsidR="003E5F60">
        <w:rPr>
          <w:rFonts w:ascii="Arial" w:eastAsia="Calibri" w:hAnsi="Arial" w:cs="Arial"/>
          <w:lang w:val="en"/>
        </w:rPr>
        <w:t xml:space="preserve"> The purpose is not only to legally </w:t>
      </w:r>
      <w:proofErr w:type="spellStart"/>
      <w:r w:rsidR="003E5F60">
        <w:rPr>
          <w:rFonts w:ascii="Arial" w:eastAsia="Calibri" w:hAnsi="Arial" w:cs="Arial"/>
          <w:lang w:val="en"/>
        </w:rPr>
        <w:t>authorise</w:t>
      </w:r>
      <w:proofErr w:type="spellEnd"/>
      <w:r w:rsidR="003E5F60">
        <w:rPr>
          <w:rFonts w:ascii="Arial" w:eastAsia="Calibri" w:hAnsi="Arial" w:cs="Arial"/>
          <w:lang w:val="en"/>
        </w:rPr>
        <w:t xml:space="preserve"> the deprivation of liberty but also to ensure that those deprived of their liberty benefit from the safeguards that accompany the </w:t>
      </w:r>
      <w:proofErr w:type="spellStart"/>
      <w:r w:rsidR="003E5F60">
        <w:rPr>
          <w:rFonts w:ascii="Arial" w:eastAsia="Calibri" w:hAnsi="Arial" w:cs="Arial"/>
          <w:lang w:val="en"/>
        </w:rPr>
        <w:t>authorisation</w:t>
      </w:r>
      <w:proofErr w:type="spellEnd"/>
      <w:r w:rsidR="003E5F60" w:rsidRPr="0049512C">
        <w:rPr>
          <w:rFonts w:ascii="Arial" w:eastAsia="Calibri" w:hAnsi="Arial" w:cs="Arial"/>
          <w:lang w:val="en"/>
        </w:rPr>
        <w:t>.</w:t>
      </w:r>
    </w:p>
    <w:p w14:paraId="3EC023F3" w14:textId="2EBFCECF" w:rsidR="007F5651" w:rsidRPr="0049512C" w:rsidRDefault="007F5651" w:rsidP="007F5651">
      <w:pPr>
        <w:spacing w:line="360" w:lineRule="auto"/>
        <w:rPr>
          <w:rFonts w:ascii="Arial" w:eastAsia="Calibri" w:hAnsi="Arial" w:cs="Arial"/>
          <w:lang w:val="en"/>
        </w:rPr>
      </w:pPr>
    </w:p>
    <w:p w14:paraId="6C2FEFF3" w14:textId="64CC726C" w:rsidR="007F5651" w:rsidRPr="0049512C" w:rsidRDefault="007F5651" w:rsidP="007F5651">
      <w:pPr>
        <w:spacing w:line="360" w:lineRule="auto"/>
        <w:rPr>
          <w:rFonts w:ascii="Arial" w:eastAsia="Calibri" w:hAnsi="Arial" w:cs="Arial"/>
        </w:rPr>
      </w:pPr>
      <w:r w:rsidRPr="0049512C">
        <w:rPr>
          <w:rFonts w:ascii="Arial" w:eastAsia="Calibri" w:hAnsi="Arial" w:cs="Arial"/>
          <w:lang w:val="en"/>
        </w:rPr>
        <w:t xml:space="preserve">The </w:t>
      </w:r>
      <w:r w:rsidRPr="0049512C">
        <w:rPr>
          <w:rFonts w:ascii="Arial" w:eastAsia="Calibri" w:hAnsi="Arial" w:cs="Arial"/>
        </w:rPr>
        <w:t>Deprivation of Liberty Safeguards (</w:t>
      </w:r>
      <w:proofErr w:type="spellStart"/>
      <w:r w:rsidRPr="0049512C">
        <w:rPr>
          <w:rFonts w:ascii="Arial" w:eastAsia="Calibri" w:hAnsi="Arial" w:cs="Arial"/>
        </w:rPr>
        <w:t>DoLS</w:t>
      </w:r>
      <w:proofErr w:type="spellEnd"/>
      <w:r w:rsidRPr="0049512C">
        <w:rPr>
          <w:rFonts w:ascii="Arial" w:eastAsia="Calibri" w:hAnsi="Arial" w:cs="Arial"/>
        </w:rPr>
        <w:t>) system is the current authorisation arrangement</w:t>
      </w:r>
      <w:r w:rsidR="004F1D26">
        <w:rPr>
          <w:rFonts w:ascii="Arial" w:eastAsia="Calibri" w:hAnsi="Arial" w:cs="Arial"/>
        </w:rPr>
        <w:t>s</w:t>
      </w:r>
      <w:r w:rsidRPr="0049512C">
        <w:rPr>
          <w:rFonts w:ascii="Arial" w:eastAsia="Calibri" w:hAnsi="Arial" w:cs="Arial"/>
        </w:rPr>
        <w:t xml:space="preserve"> for adults </w:t>
      </w:r>
      <w:r w:rsidR="004F1D26">
        <w:rPr>
          <w:rFonts w:ascii="Arial" w:eastAsia="Calibri" w:hAnsi="Arial" w:cs="Arial"/>
        </w:rPr>
        <w:t>(</w:t>
      </w:r>
      <w:proofErr w:type="gramStart"/>
      <w:r w:rsidR="003E5F60">
        <w:rPr>
          <w:rFonts w:ascii="Arial" w:eastAsia="Calibri" w:hAnsi="Arial" w:cs="Arial"/>
        </w:rPr>
        <w:t>i.e.</w:t>
      </w:r>
      <w:proofErr w:type="gramEnd"/>
      <w:r w:rsidR="004F1D26">
        <w:rPr>
          <w:rFonts w:ascii="Arial" w:eastAsia="Calibri" w:hAnsi="Arial" w:cs="Arial"/>
        </w:rPr>
        <w:t xml:space="preserve"> over 18 years) </w:t>
      </w:r>
      <w:r w:rsidRPr="0049512C">
        <w:rPr>
          <w:rFonts w:ascii="Arial" w:eastAsia="Calibri" w:hAnsi="Arial" w:cs="Arial"/>
        </w:rPr>
        <w:t xml:space="preserve">either residing in a care home or hospital. The Court of Protection directly authorises all other deprivations of liberty not covered by </w:t>
      </w:r>
      <w:proofErr w:type="spellStart"/>
      <w:r w:rsidRPr="0049512C">
        <w:rPr>
          <w:rFonts w:ascii="Arial" w:eastAsia="Calibri" w:hAnsi="Arial" w:cs="Arial"/>
        </w:rPr>
        <w:t>DoLS</w:t>
      </w:r>
      <w:proofErr w:type="spellEnd"/>
      <w:r w:rsidRPr="0049512C">
        <w:rPr>
          <w:rFonts w:ascii="Arial" w:eastAsia="Calibri" w:hAnsi="Arial" w:cs="Arial"/>
        </w:rPr>
        <w:t xml:space="preserve">, including those in community settings, as well as young people aged 16-17. </w:t>
      </w:r>
    </w:p>
    <w:p w14:paraId="061532D8" w14:textId="2FC01E6C" w:rsidR="007F5651" w:rsidRPr="0049512C" w:rsidRDefault="007F5651" w:rsidP="007F5651">
      <w:pPr>
        <w:spacing w:line="360" w:lineRule="auto"/>
        <w:rPr>
          <w:rFonts w:ascii="Arial" w:hAnsi="Arial" w:cs="Arial"/>
        </w:rPr>
      </w:pPr>
      <w:r w:rsidRPr="0049512C">
        <w:rPr>
          <w:rFonts w:ascii="Arial" w:hAnsi="Arial" w:cs="Arial"/>
        </w:rPr>
        <w:t>The LPS will replace these existing processes, to authorise a deprivation of liberty</w:t>
      </w:r>
      <w:r w:rsidR="004F1D26">
        <w:rPr>
          <w:rFonts w:ascii="Arial" w:hAnsi="Arial" w:cs="Arial"/>
        </w:rPr>
        <w:t xml:space="preserve"> for patients over the age of 16, in any setting</w:t>
      </w:r>
      <w:r w:rsidR="00CA571C">
        <w:rPr>
          <w:rFonts w:ascii="Arial" w:hAnsi="Arial" w:cs="Arial"/>
        </w:rPr>
        <w:t>.</w:t>
      </w:r>
      <w:r w:rsidR="006B4AA0">
        <w:rPr>
          <w:rFonts w:ascii="Arial" w:hAnsi="Arial" w:cs="Arial"/>
        </w:rPr>
        <w:t xml:space="preserve">  The Court of P</w:t>
      </w:r>
      <w:r w:rsidR="004F1D26">
        <w:rPr>
          <w:rFonts w:ascii="Arial" w:hAnsi="Arial" w:cs="Arial"/>
        </w:rPr>
        <w:t xml:space="preserve">rotection will still have a role in some cases, as well as providing a route to appeal against the use of the LPS.  </w:t>
      </w:r>
    </w:p>
    <w:p w14:paraId="764C3BCB" w14:textId="490C4176" w:rsidR="007F5651" w:rsidRDefault="007F5651" w:rsidP="007F5651">
      <w:pPr>
        <w:spacing w:line="360" w:lineRule="auto"/>
        <w:rPr>
          <w:rFonts w:ascii="Arial" w:hAnsi="Arial" w:cs="Arial"/>
        </w:rPr>
      </w:pPr>
      <w:r w:rsidRPr="0049512C">
        <w:rPr>
          <w:rFonts w:ascii="Arial" w:hAnsi="Arial" w:cs="Arial"/>
        </w:rPr>
        <w:t>The draft timetable</w:t>
      </w:r>
      <w:r w:rsidR="00553CE3">
        <w:rPr>
          <w:rFonts w:ascii="Arial" w:hAnsi="Arial" w:cs="Arial"/>
        </w:rPr>
        <w:t xml:space="preserve"> (which may be subject to change)</w:t>
      </w:r>
      <w:r w:rsidRPr="0049512C">
        <w:rPr>
          <w:rFonts w:ascii="Arial" w:hAnsi="Arial" w:cs="Arial"/>
        </w:rPr>
        <w:t xml:space="preserve"> for implementation anticipates</w:t>
      </w:r>
      <w:r>
        <w:rPr>
          <w:rFonts w:ascii="Arial" w:hAnsi="Arial" w:cs="Arial"/>
        </w:rPr>
        <w:t xml:space="preserve"> the</w:t>
      </w:r>
      <w:r w:rsidRPr="0049512C">
        <w:rPr>
          <w:rFonts w:ascii="Arial" w:hAnsi="Arial" w:cs="Arial"/>
        </w:rPr>
        <w:t xml:space="preserve"> following</w:t>
      </w:r>
      <w:r>
        <w:rPr>
          <w:rFonts w:ascii="Arial" w:hAnsi="Arial" w:cs="Arial"/>
        </w:rPr>
        <w:t xml:space="preserve"> (based on DHSC planned milestones for LPS):</w:t>
      </w:r>
    </w:p>
    <w:p w14:paraId="1D6ED258" w14:textId="3F882F8B" w:rsidR="007F5651" w:rsidRDefault="007F5651" w:rsidP="007F5651">
      <w:pPr>
        <w:spacing w:line="360" w:lineRule="auto"/>
        <w:rPr>
          <w:rFonts w:ascii="Arial" w:hAnsi="Arial" w:cs="Arial"/>
        </w:rPr>
      </w:pPr>
    </w:p>
    <w:p w14:paraId="705AC98C" w14:textId="77777777" w:rsidR="007F5651" w:rsidRPr="0049512C" w:rsidRDefault="007F5651" w:rsidP="007F5651">
      <w:pPr>
        <w:spacing w:line="360" w:lineRule="auto"/>
        <w:rPr>
          <w:rFonts w:ascii="Arial" w:hAnsi="Arial" w:cs="Arial"/>
        </w:rPr>
      </w:pPr>
    </w:p>
    <w:tbl>
      <w:tblPr>
        <w:tblStyle w:val="TableGrid"/>
        <w:tblW w:w="9067" w:type="dxa"/>
        <w:tblLook w:val="04A0" w:firstRow="1" w:lastRow="0" w:firstColumn="1" w:lastColumn="0" w:noHBand="0" w:noVBand="1"/>
      </w:tblPr>
      <w:tblGrid>
        <w:gridCol w:w="1696"/>
        <w:gridCol w:w="1560"/>
        <w:gridCol w:w="1984"/>
        <w:gridCol w:w="1843"/>
        <w:gridCol w:w="1984"/>
      </w:tblGrid>
      <w:tr w:rsidR="007F5651" w:rsidRPr="0049512C" w14:paraId="308CE284" w14:textId="77777777" w:rsidTr="003B2996">
        <w:tc>
          <w:tcPr>
            <w:tcW w:w="1696" w:type="dxa"/>
          </w:tcPr>
          <w:p w14:paraId="659EC4D8" w14:textId="77777777" w:rsidR="007F5651" w:rsidRPr="00591367" w:rsidRDefault="007F5651" w:rsidP="003B2996">
            <w:pPr>
              <w:spacing w:line="360" w:lineRule="auto"/>
              <w:rPr>
                <w:rFonts w:ascii="Arial" w:hAnsi="Arial" w:cs="Arial"/>
                <w:b/>
              </w:rPr>
            </w:pPr>
            <w:r w:rsidRPr="00591367">
              <w:rPr>
                <w:rFonts w:ascii="Arial" w:hAnsi="Arial" w:cs="Arial"/>
                <w:b/>
              </w:rPr>
              <w:t>Jan 202</w:t>
            </w:r>
            <w:r>
              <w:rPr>
                <w:rFonts w:ascii="Arial" w:hAnsi="Arial" w:cs="Arial"/>
                <w:b/>
              </w:rPr>
              <w:t>1</w:t>
            </w:r>
          </w:p>
        </w:tc>
        <w:tc>
          <w:tcPr>
            <w:tcW w:w="1560" w:type="dxa"/>
          </w:tcPr>
          <w:p w14:paraId="16F2741A" w14:textId="77777777" w:rsidR="007F5651" w:rsidRPr="00591367" w:rsidRDefault="007F5651" w:rsidP="003B2996">
            <w:pPr>
              <w:spacing w:line="360" w:lineRule="auto"/>
              <w:rPr>
                <w:rFonts w:ascii="Arial" w:hAnsi="Arial" w:cs="Arial"/>
                <w:b/>
              </w:rPr>
            </w:pPr>
            <w:r w:rsidRPr="00591367">
              <w:rPr>
                <w:rFonts w:ascii="Arial" w:hAnsi="Arial" w:cs="Arial"/>
                <w:b/>
              </w:rPr>
              <w:t>Spring 202</w:t>
            </w:r>
            <w:r>
              <w:rPr>
                <w:rFonts w:ascii="Arial" w:hAnsi="Arial" w:cs="Arial"/>
                <w:b/>
              </w:rPr>
              <w:t>1</w:t>
            </w:r>
          </w:p>
        </w:tc>
        <w:tc>
          <w:tcPr>
            <w:tcW w:w="1984" w:type="dxa"/>
          </w:tcPr>
          <w:p w14:paraId="6E5CD6EB" w14:textId="2E289D64" w:rsidR="007F5651" w:rsidRPr="00591367" w:rsidRDefault="000C32B6" w:rsidP="003B2996">
            <w:pPr>
              <w:spacing w:line="360" w:lineRule="auto"/>
              <w:rPr>
                <w:rFonts w:ascii="Arial" w:hAnsi="Arial" w:cs="Arial"/>
                <w:b/>
              </w:rPr>
            </w:pPr>
            <w:r>
              <w:rPr>
                <w:rFonts w:ascii="Arial" w:hAnsi="Arial" w:cs="Arial"/>
                <w:b/>
              </w:rPr>
              <w:t>Winter</w:t>
            </w:r>
            <w:r w:rsidR="007F5651" w:rsidRPr="00591367">
              <w:rPr>
                <w:rFonts w:ascii="Arial" w:hAnsi="Arial" w:cs="Arial"/>
                <w:b/>
              </w:rPr>
              <w:t xml:space="preserve"> 202</w:t>
            </w:r>
            <w:r w:rsidR="007F5651">
              <w:rPr>
                <w:rFonts w:ascii="Arial" w:hAnsi="Arial" w:cs="Arial"/>
                <w:b/>
              </w:rPr>
              <w:t>1</w:t>
            </w:r>
          </w:p>
        </w:tc>
        <w:tc>
          <w:tcPr>
            <w:tcW w:w="1843" w:type="dxa"/>
          </w:tcPr>
          <w:p w14:paraId="7AADEE87" w14:textId="77777777" w:rsidR="007F5651" w:rsidRPr="00591367" w:rsidRDefault="007F5651" w:rsidP="003B2996">
            <w:pPr>
              <w:spacing w:line="360" w:lineRule="auto"/>
              <w:rPr>
                <w:rFonts w:ascii="Arial" w:hAnsi="Arial" w:cs="Arial"/>
                <w:b/>
              </w:rPr>
            </w:pPr>
            <w:r w:rsidRPr="00591367">
              <w:rPr>
                <w:rFonts w:ascii="Arial" w:hAnsi="Arial" w:cs="Arial"/>
                <w:b/>
              </w:rPr>
              <w:t>1</w:t>
            </w:r>
            <w:r w:rsidRPr="00591367">
              <w:rPr>
                <w:rFonts w:ascii="Arial" w:hAnsi="Arial" w:cs="Arial"/>
                <w:b/>
                <w:vertAlign w:val="superscript"/>
              </w:rPr>
              <w:t>st</w:t>
            </w:r>
            <w:r w:rsidRPr="00591367">
              <w:rPr>
                <w:rFonts w:ascii="Arial" w:hAnsi="Arial" w:cs="Arial"/>
                <w:b/>
              </w:rPr>
              <w:t xml:space="preserve"> </w:t>
            </w:r>
            <w:r>
              <w:rPr>
                <w:rFonts w:ascii="Arial" w:hAnsi="Arial" w:cs="Arial"/>
                <w:b/>
              </w:rPr>
              <w:t>April</w:t>
            </w:r>
            <w:r w:rsidRPr="00591367">
              <w:rPr>
                <w:rFonts w:ascii="Arial" w:hAnsi="Arial" w:cs="Arial"/>
                <w:b/>
              </w:rPr>
              <w:t xml:space="preserve"> 202</w:t>
            </w:r>
            <w:r>
              <w:rPr>
                <w:rFonts w:ascii="Arial" w:hAnsi="Arial" w:cs="Arial"/>
                <w:b/>
              </w:rPr>
              <w:t>2</w:t>
            </w:r>
          </w:p>
        </w:tc>
        <w:tc>
          <w:tcPr>
            <w:tcW w:w="1984" w:type="dxa"/>
          </w:tcPr>
          <w:p w14:paraId="7DA4A64D" w14:textId="77777777" w:rsidR="007F5651" w:rsidRPr="00591367" w:rsidRDefault="007F5651" w:rsidP="003B2996">
            <w:pPr>
              <w:spacing w:line="360" w:lineRule="auto"/>
              <w:rPr>
                <w:rFonts w:ascii="Arial" w:hAnsi="Arial" w:cs="Arial"/>
                <w:b/>
              </w:rPr>
            </w:pPr>
            <w:r>
              <w:rPr>
                <w:rFonts w:ascii="Arial" w:hAnsi="Arial" w:cs="Arial"/>
                <w:b/>
              </w:rPr>
              <w:t>April 2023</w:t>
            </w:r>
          </w:p>
        </w:tc>
      </w:tr>
      <w:tr w:rsidR="007F5651" w:rsidRPr="0049512C" w14:paraId="262F8CDD" w14:textId="77777777" w:rsidTr="003B2996">
        <w:tc>
          <w:tcPr>
            <w:tcW w:w="1696" w:type="dxa"/>
          </w:tcPr>
          <w:p w14:paraId="27DAB640" w14:textId="18739885" w:rsidR="007F5651" w:rsidRPr="0049512C" w:rsidRDefault="005A7514" w:rsidP="003B2996">
            <w:pPr>
              <w:spacing w:line="360" w:lineRule="auto"/>
              <w:rPr>
                <w:rFonts w:ascii="Arial" w:hAnsi="Arial" w:cs="Arial"/>
              </w:rPr>
            </w:pPr>
            <w:r>
              <w:rPr>
                <w:rFonts w:ascii="Arial" w:hAnsi="Arial" w:cs="Arial"/>
              </w:rPr>
              <w:t xml:space="preserve">Further interim </w:t>
            </w:r>
            <w:r w:rsidR="000C32B6">
              <w:rPr>
                <w:rFonts w:ascii="Arial" w:hAnsi="Arial" w:cs="Arial"/>
              </w:rPr>
              <w:t>Impact assessment publication</w:t>
            </w:r>
            <w:r w:rsidR="00E23267">
              <w:rPr>
                <w:rStyle w:val="FootnoteReference"/>
                <w:rFonts w:ascii="Arial" w:hAnsi="Arial" w:cs="Arial"/>
              </w:rPr>
              <w:footnoteReference w:id="1"/>
            </w:r>
          </w:p>
        </w:tc>
        <w:tc>
          <w:tcPr>
            <w:tcW w:w="1560" w:type="dxa"/>
          </w:tcPr>
          <w:p w14:paraId="0C8E75FE" w14:textId="4DD77ECA" w:rsidR="007F5651" w:rsidRPr="0049512C" w:rsidRDefault="005A7514" w:rsidP="003B2996">
            <w:pPr>
              <w:spacing w:line="360" w:lineRule="auto"/>
              <w:rPr>
                <w:rFonts w:ascii="Arial" w:hAnsi="Arial" w:cs="Arial"/>
              </w:rPr>
            </w:pPr>
            <w:r>
              <w:rPr>
                <w:rFonts w:ascii="Arial" w:hAnsi="Arial" w:cs="Arial"/>
              </w:rPr>
              <w:t xml:space="preserve">Draft </w:t>
            </w:r>
            <w:r w:rsidR="007F5651" w:rsidRPr="0049512C">
              <w:rPr>
                <w:rFonts w:ascii="Arial" w:hAnsi="Arial" w:cs="Arial"/>
              </w:rPr>
              <w:t>Code of Pr</w:t>
            </w:r>
            <w:r w:rsidR="00464B4C">
              <w:rPr>
                <w:rFonts w:ascii="Arial" w:hAnsi="Arial" w:cs="Arial"/>
              </w:rPr>
              <w:t xml:space="preserve">actice and </w:t>
            </w:r>
            <w:r>
              <w:rPr>
                <w:rFonts w:ascii="Arial" w:hAnsi="Arial" w:cs="Arial"/>
              </w:rPr>
              <w:t>R</w:t>
            </w:r>
            <w:r w:rsidR="00464B4C">
              <w:rPr>
                <w:rFonts w:ascii="Arial" w:hAnsi="Arial" w:cs="Arial"/>
              </w:rPr>
              <w:t>egulations consultation</w:t>
            </w:r>
          </w:p>
        </w:tc>
        <w:tc>
          <w:tcPr>
            <w:tcW w:w="1984" w:type="dxa"/>
          </w:tcPr>
          <w:p w14:paraId="5051425A" w14:textId="5F27EBD0" w:rsidR="007F5651" w:rsidRPr="0049512C" w:rsidRDefault="000C32B6" w:rsidP="003B2996">
            <w:pPr>
              <w:spacing w:line="360" w:lineRule="auto"/>
              <w:rPr>
                <w:rFonts w:ascii="Arial" w:hAnsi="Arial" w:cs="Arial"/>
              </w:rPr>
            </w:pPr>
            <w:r>
              <w:rPr>
                <w:rFonts w:ascii="Arial" w:hAnsi="Arial" w:cs="Arial"/>
              </w:rPr>
              <w:t xml:space="preserve">Publication of </w:t>
            </w:r>
            <w:r w:rsidR="005A7514">
              <w:rPr>
                <w:rFonts w:ascii="Arial" w:hAnsi="Arial" w:cs="Arial"/>
              </w:rPr>
              <w:t>finalised C</w:t>
            </w:r>
            <w:r>
              <w:rPr>
                <w:rFonts w:ascii="Arial" w:hAnsi="Arial" w:cs="Arial"/>
              </w:rPr>
              <w:t>ode of Practice</w:t>
            </w:r>
            <w:r w:rsidR="005A7514">
              <w:rPr>
                <w:rFonts w:ascii="Arial" w:hAnsi="Arial" w:cs="Arial"/>
              </w:rPr>
              <w:t xml:space="preserve"> and Regulations</w:t>
            </w:r>
            <w:r w:rsidR="00931A9A">
              <w:rPr>
                <w:rFonts w:ascii="Arial" w:hAnsi="Arial" w:cs="Arial"/>
              </w:rPr>
              <w:t xml:space="preserve"> </w:t>
            </w:r>
          </w:p>
        </w:tc>
        <w:tc>
          <w:tcPr>
            <w:tcW w:w="1843" w:type="dxa"/>
          </w:tcPr>
          <w:p w14:paraId="586B4F8F" w14:textId="77777777" w:rsidR="007F5651" w:rsidRPr="0049512C" w:rsidRDefault="007F5651" w:rsidP="003B2996">
            <w:pPr>
              <w:spacing w:line="360" w:lineRule="auto"/>
              <w:rPr>
                <w:rFonts w:ascii="Arial" w:hAnsi="Arial" w:cs="Arial"/>
              </w:rPr>
            </w:pPr>
            <w:r w:rsidRPr="0049512C">
              <w:rPr>
                <w:rFonts w:ascii="Arial" w:hAnsi="Arial" w:cs="Arial"/>
              </w:rPr>
              <w:t>LPS goes live</w:t>
            </w:r>
          </w:p>
        </w:tc>
        <w:tc>
          <w:tcPr>
            <w:tcW w:w="1984" w:type="dxa"/>
          </w:tcPr>
          <w:p w14:paraId="27D80B20" w14:textId="77777777" w:rsidR="007F5651" w:rsidRPr="0049512C" w:rsidRDefault="007F5651" w:rsidP="003B2996">
            <w:pPr>
              <w:spacing w:line="360" w:lineRule="auto"/>
              <w:rPr>
                <w:rFonts w:ascii="Arial" w:hAnsi="Arial" w:cs="Arial"/>
              </w:rPr>
            </w:pPr>
            <w:r w:rsidRPr="0049512C">
              <w:rPr>
                <w:rFonts w:ascii="Arial" w:hAnsi="Arial" w:cs="Arial"/>
              </w:rPr>
              <w:t>DOLS arrangements come to an end</w:t>
            </w:r>
          </w:p>
        </w:tc>
      </w:tr>
      <w:tr w:rsidR="007F5651" w:rsidRPr="0049512C" w14:paraId="42DC739E" w14:textId="77777777" w:rsidTr="003B2996">
        <w:tc>
          <w:tcPr>
            <w:tcW w:w="5240" w:type="dxa"/>
            <w:gridSpan w:val="3"/>
          </w:tcPr>
          <w:p w14:paraId="093BC3A5" w14:textId="77777777" w:rsidR="007F5651" w:rsidRPr="0049512C" w:rsidRDefault="007F5651" w:rsidP="003B2996">
            <w:pPr>
              <w:spacing w:line="360" w:lineRule="auto"/>
              <w:rPr>
                <w:rFonts w:ascii="Arial" w:hAnsi="Arial" w:cs="Arial"/>
              </w:rPr>
            </w:pPr>
            <w:r>
              <w:rPr>
                <w:rFonts w:ascii="Arial" w:hAnsi="Arial" w:cs="Arial"/>
              </w:rPr>
              <w:t>Applications to Deprive of Liberty continue under DOLS arrangements</w:t>
            </w:r>
          </w:p>
        </w:tc>
        <w:tc>
          <w:tcPr>
            <w:tcW w:w="3827" w:type="dxa"/>
            <w:gridSpan w:val="2"/>
          </w:tcPr>
          <w:p w14:paraId="60C6BA0D" w14:textId="0B1E0202" w:rsidR="007F5651" w:rsidRPr="0049512C" w:rsidRDefault="007F5651">
            <w:pPr>
              <w:spacing w:line="360" w:lineRule="auto"/>
              <w:rPr>
                <w:rFonts w:ascii="Arial" w:hAnsi="Arial" w:cs="Arial"/>
              </w:rPr>
            </w:pPr>
            <w:r>
              <w:rPr>
                <w:rFonts w:ascii="Arial" w:hAnsi="Arial" w:cs="Arial"/>
              </w:rPr>
              <w:t>All new applications will be made under the LPS</w:t>
            </w:r>
            <w:r w:rsidR="005A7514">
              <w:rPr>
                <w:rFonts w:ascii="Arial" w:hAnsi="Arial" w:cs="Arial"/>
              </w:rPr>
              <w:t xml:space="preserve">.  Existing </w:t>
            </w:r>
            <w:r w:rsidRPr="0049512C">
              <w:rPr>
                <w:rFonts w:ascii="Arial" w:hAnsi="Arial" w:cs="Arial"/>
              </w:rPr>
              <w:t xml:space="preserve">DOLS </w:t>
            </w:r>
            <w:r w:rsidR="005A7514">
              <w:rPr>
                <w:rFonts w:ascii="Arial" w:hAnsi="Arial" w:cs="Arial"/>
              </w:rPr>
              <w:t xml:space="preserve">authorisations </w:t>
            </w:r>
            <w:r w:rsidRPr="0049512C">
              <w:rPr>
                <w:rFonts w:ascii="Arial" w:hAnsi="Arial" w:cs="Arial"/>
              </w:rPr>
              <w:t xml:space="preserve">will run in </w:t>
            </w:r>
            <w:r>
              <w:rPr>
                <w:rFonts w:ascii="Arial" w:hAnsi="Arial" w:cs="Arial"/>
              </w:rPr>
              <w:t xml:space="preserve">parallel </w:t>
            </w:r>
            <w:r w:rsidR="005A7514">
              <w:rPr>
                <w:rFonts w:ascii="Arial" w:hAnsi="Arial" w:cs="Arial"/>
              </w:rPr>
              <w:t xml:space="preserve">until April 2023 </w:t>
            </w:r>
            <w:r>
              <w:rPr>
                <w:rFonts w:ascii="Arial" w:hAnsi="Arial" w:cs="Arial"/>
              </w:rPr>
              <w:t>to</w:t>
            </w:r>
            <w:r w:rsidRPr="0049512C">
              <w:rPr>
                <w:rFonts w:ascii="Arial" w:hAnsi="Arial" w:cs="Arial"/>
              </w:rPr>
              <w:t xml:space="preserve"> aid transition to LPS</w:t>
            </w:r>
          </w:p>
        </w:tc>
      </w:tr>
    </w:tbl>
    <w:p w14:paraId="1E4C47A5" w14:textId="77777777" w:rsidR="007F5651" w:rsidRPr="0049512C" w:rsidRDefault="007F5651" w:rsidP="007F5651">
      <w:pPr>
        <w:spacing w:line="360" w:lineRule="auto"/>
        <w:rPr>
          <w:rFonts w:ascii="Arial" w:hAnsi="Arial" w:cs="Arial"/>
        </w:rPr>
      </w:pPr>
    </w:p>
    <w:p w14:paraId="069D338E" w14:textId="400A69B4" w:rsidR="004F1D26" w:rsidRDefault="007F5651" w:rsidP="007F5651">
      <w:pPr>
        <w:spacing w:line="360" w:lineRule="auto"/>
        <w:rPr>
          <w:rFonts w:ascii="Arial" w:hAnsi="Arial" w:cs="Arial"/>
        </w:rPr>
      </w:pPr>
      <w:r w:rsidRPr="0049512C">
        <w:rPr>
          <w:rFonts w:ascii="Arial" w:hAnsi="Arial" w:cs="Arial"/>
        </w:rPr>
        <w:t xml:space="preserve">The government has confirmed it aims to implement the MCAA on the </w:t>
      </w:r>
      <w:proofErr w:type="gramStart"/>
      <w:r w:rsidRPr="0049512C">
        <w:rPr>
          <w:rFonts w:ascii="Arial" w:hAnsi="Arial" w:cs="Arial"/>
        </w:rPr>
        <w:t>1</w:t>
      </w:r>
      <w:r w:rsidRPr="0049512C">
        <w:rPr>
          <w:rFonts w:ascii="Arial" w:hAnsi="Arial" w:cs="Arial"/>
          <w:vertAlign w:val="superscript"/>
        </w:rPr>
        <w:t>st</w:t>
      </w:r>
      <w:proofErr w:type="gramEnd"/>
      <w:r w:rsidRPr="0049512C">
        <w:rPr>
          <w:rFonts w:ascii="Arial" w:hAnsi="Arial" w:cs="Arial"/>
        </w:rPr>
        <w:t xml:space="preserve"> </w:t>
      </w:r>
      <w:r>
        <w:rPr>
          <w:rFonts w:ascii="Arial" w:hAnsi="Arial" w:cs="Arial"/>
        </w:rPr>
        <w:t xml:space="preserve">April </w:t>
      </w:r>
      <w:r w:rsidRPr="0049512C">
        <w:rPr>
          <w:rFonts w:ascii="Arial" w:hAnsi="Arial" w:cs="Arial"/>
        </w:rPr>
        <w:t>202</w:t>
      </w:r>
      <w:r>
        <w:rPr>
          <w:rFonts w:ascii="Arial" w:hAnsi="Arial" w:cs="Arial"/>
        </w:rPr>
        <w:t>2</w:t>
      </w:r>
      <w:r w:rsidR="004F1D26">
        <w:rPr>
          <w:rFonts w:ascii="Arial" w:hAnsi="Arial" w:cs="Arial"/>
        </w:rPr>
        <w:t xml:space="preserve">, when any new applications must be made under LPS rather than </w:t>
      </w:r>
      <w:proofErr w:type="spellStart"/>
      <w:r w:rsidR="004F1D26">
        <w:rPr>
          <w:rFonts w:ascii="Arial" w:hAnsi="Arial" w:cs="Arial"/>
        </w:rPr>
        <w:t>DoLS</w:t>
      </w:r>
      <w:proofErr w:type="spellEnd"/>
      <w:r w:rsidRPr="0049512C">
        <w:rPr>
          <w:rFonts w:ascii="Arial" w:hAnsi="Arial" w:cs="Arial"/>
        </w:rPr>
        <w:t xml:space="preserve">. An accompanying Code of Practice </w:t>
      </w:r>
      <w:r w:rsidR="004F1D26">
        <w:rPr>
          <w:rFonts w:ascii="Arial" w:hAnsi="Arial" w:cs="Arial"/>
        </w:rPr>
        <w:t>and draft Regulations are</w:t>
      </w:r>
      <w:r w:rsidRPr="0049512C">
        <w:rPr>
          <w:rFonts w:ascii="Arial" w:hAnsi="Arial" w:cs="Arial"/>
        </w:rPr>
        <w:t xml:space="preserve"> expected to be presented </w:t>
      </w:r>
      <w:r w:rsidR="00E23267">
        <w:rPr>
          <w:rFonts w:ascii="Arial" w:hAnsi="Arial" w:cs="Arial"/>
        </w:rPr>
        <w:t xml:space="preserve">for consultation </w:t>
      </w:r>
      <w:r w:rsidR="00B625F6">
        <w:rPr>
          <w:rFonts w:ascii="Arial" w:hAnsi="Arial" w:cs="Arial"/>
        </w:rPr>
        <w:t xml:space="preserve">in </w:t>
      </w:r>
      <w:r>
        <w:rPr>
          <w:rFonts w:ascii="Arial" w:hAnsi="Arial" w:cs="Arial"/>
        </w:rPr>
        <w:t>spring 2021</w:t>
      </w:r>
      <w:r w:rsidRPr="0049512C">
        <w:rPr>
          <w:rFonts w:ascii="Arial" w:hAnsi="Arial" w:cs="Arial"/>
        </w:rPr>
        <w:t xml:space="preserve">. </w:t>
      </w:r>
    </w:p>
    <w:p w14:paraId="6F655736" w14:textId="674A037B" w:rsidR="007F5651" w:rsidRDefault="004F1D26" w:rsidP="007F5651">
      <w:pPr>
        <w:spacing w:line="360" w:lineRule="auto"/>
        <w:rPr>
          <w:rFonts w:ascii="Arial" w:hAnsi="Arial" w:cs="Arial"/>
        </w:rPr>
      </w:pPr>
      <w:r>
        <w:rPr>
          <w:rFonts w:ascii="Arial" w:hAnsi="Arial" w:cs="Arial"/>
        </w:rPr>
        <w:t xml:space="preserve">Existing </w:t>
      </w:r>
      <w:proofErr w:type="spellStart"/>
      <w:r>
        <w:rPr>
          <w:rFonts w:ascii="Arial" w:hAnsi="Arial" w:cs="Arial"/>
        </w:rPr>
        <w:t>DoLS</w:t>
      </w:r>
      <w:proofErr w:type="spellEnd"/>
      <w:r>
        <w:rPr>
          <w:rFonts w:ascii="Arial" w:hAnsi="Arial" w:cs="Arial"/>
        </w:rPr>
        <w:t xml:space="preserve"> authorisations already in place on 1 April 2022 can last for up to one year, so </w:t>
      </w:r>
      <w:r w:rsidR="007F5651" w:rsidRPr="0049512C">
        <w:rPr>
          <w:rFonts w:ascii="Arial" w:hAnsi="Arial" w:cs="Arial"/>
        </w:rPr>
        <w:t xml:space="preserve">will continue to run alongside </w:t>
      </w:r>
      <w:r w:rsidR="0096665F">
        <w:rPr>
          <w:rFonts w:ascii="Arial" w:hAnsi="Arial" w:cs="Arial"/>
        </w:rPr>
        <w:t xml:space="preserve">new </w:t>
      </w:r>
      <w:r w:rsidR="007F5651" w:rsidRPr="0049512C">
        <w:rPr>
          <w:rFonts w:ascii="Arial" w:hAnsi="Arial" w:cs="Arial"/>
        </w:rPr>
        <w:t>LPS for up to a year to support an effective transition between the old and new schemes.</w:t>
      </w:r>
    </w:p>
    <w:p w14:paraId="1DCF9D64" w14:textId="77777777" w:rsidR="007F5651" w:rsidRPr="0049512C" w:rsidRDefault="007F5651" w:rsidP="007F5651">
      <w:pPr>
        <w:spacing w:line="360" w:lineRule="auto"/>
        <w:rPr>
          <w:rFonts w:ascii="Arial" w:hAnsi="Arial" w:cs="Arial"/>
        </w:rPr>
      </w:pPr>
    </w:p>
    <w:p w14:paraId="69422A50" w14:textId="77777777" w:rsidR="003E5F60" w:rsidRDefault="003E5F60" w:rsidP="007F5651">
      <w:pPr>
        <w:spacing w:line="360" w:lineRule="auto"/>
        <w:rPr>
          <w:rFonts w:ascii="Arial" w:hAnsi="Arial" w:cs="Arial"/>
          <w:b/>
          <w:color w:val="0070C0"/>
          <w:sz w:val="36"/>
          <w:szCs w:val="36"/>
        </w:rPr>
      </w:pPr>
    </w:p>
    <w:p w14:paraId="40D5D906" w14:textId="124E849D" w:rsidR="007F5651" w:rsidRPr="007F5651" w:rsidRDefault="007F5651" w:rsidP="007F5651">
      <w:pPr>
        <w:spacing w:line="360" w:lineRule="auto"/>
        <w:rPr>
          <w:rFonts w:ascii="Arial" w:hAnsi="Arial" w:cs="Arial"/>
          <w:b/>
          <w:color w:val="0070C0"/>
          <w:sz w:val="36"/>
          <w:szCs w:val="36"/>
        </w:rPr>
      </w:pPr>
      <w:r w:rsidRPr="007F5651">
        <w:rPr>
          <w:rFonts w:ascii="Arial" w:hAnsi="Arial" w:cs="Arial"/>
          <w:b/>
          <w:color w:val="0070C0"/>
          <w:sz w:val="36"/>
          <w:szCs w:val="36"/>
        </w:rPr>
        <w:t xml:space="preserve">Key aspects of the new </w:t>
      </w:r>
      <w:proofErr w:type="gramStart"/>
      <w:r w:rsidRPr="007F5651">
        <w:rPr>
          <w:rFonts w:ascii="Arial" w:hAnsi="Arial" w:cs="Arial"/>
          <w:b/>
          <w:color w:val="0070C0"/>
          <w:sz w:val="36"/>
          <w:szCs w:val="36"/>
        </w:rPr>
        <w:t>LPS;</w:t>
      </w:r>
      <w:proofErr w:type="gramEnd"/>
    </w:p>
    <w:p w14:paraId="66F390E5" w14:textId="592DDEC8" w:rsidR="007F5651" w:rsidRPr="009B6169" w:rsidRDefault="007F5651" w:rsidP="007F5651">
      <w:pPr>
        <w:numPr>
          <w:ilvl w:val="0"/>
          <w:numId w:val="4"/>
        </w:numPr>
        <w:spacing w:after="160" w:line="360" w:lineRule="auto"/>
        <w:contextualSpacing/>
        <w:rPr>
          <w:rFonts w:ascii="Arial" w:hAnsi="Arial" w:cs="Arial"/>
          <w:lang w:val="en"/>
        </w:rPr>
      </w:pPr>
      <w:r w:rsidRPr="009B6169">
        <w:rPr>
          <w:rFonts w:ascii="Arial" w:hAnsi="Arial" w:cs="Arial"/>
          <w:lang w:val="en"/>
        </w:rPr>
        <w:t>LPS to be applicable in all settings, including domestic settings</w:t>
      </w:r>
      <w:r w:rsidR="005763C8">
        <w:rPr>
          <w:rFonts w:ascii="Arial" w:hAnsi="Arial" w:cs="Arial"/>
          <w:lang w:val="en"/>
        </w:rPr>
        <w:t xml:space="preserve"> such as a family home or supported living.  </w:t>
      </w:r>
    </w:p>
    <w:p w14:paraId="290A999A" w14:textId="00FD108E" w:rsidR="007F5651" w:rsidRPr="009B6169" w:rsidRDefault="007F5651" w:rsidP="007F5651">
      <w:pPr>
        <w:numPr>
          <w:ilvl w:val="0"/>
          <w:numId w:val="4"/>
        </w:numPr>
        <w:spacing w:after="160" w:line="360" w:lineRule="auto"/>
        <w:contextualSpacing/>
        <w:rPr>
          <w:rFonts w:ascii="Arial" w:hAnsi="Arial" w:cs="Arial"/>
          <w:lang w:val="en"/>
        </w:rPr>
      </w:pPr>
      <w:r w:rsidRPr="009B6169">
        <w:rPr>
          <w:rFonts w:ascii="Arial" w:hAnsi="Arial" w:cs="Arial"/>
          <w:lang w:val="en"/>
        </w:rPr>
        <w:t xml:space="preserve">LPS not tied to accommodation or residence, can be used to </w:t>
      </w:r>
      <w:r w:rsidRPr="00A91314">
        <w:rPr>
          <w:rFonts w:ascii="Arial" w:hAnsi="Arial" w:cs="Arial"/>
        </w:rPr>
        <w:t>authorise</w:t>
      </w:r>
      <w:r w:rsidRPr="009B6169">
        <w:rPr>
          <w:rFonts w:ascii="Arial" w:hAnsi="Arial" w:cs="Arial"/>
          <w:lang w:val="en"/>
        </w:rPr>
        <w:t xml:space="preserve"> </w:t>
      </w:r>
      <w:r w:rsidR="005763C8">
        <w:rPr>
          <w:rFonts w:ascii="Arial" w:hAnsi="Arial" w:cs="Arial"/>
          <w:lang w:val="en"/>
        </w:rPr>
        <w:t xml:space="preserve">an overall care plan including </w:t>
      </w:r>
      <w:r w:rsidRPr="009B6169">
        <w:rPr>
          <w:rFonts w:ascii="Arial" w:hAnsi="Arial" w:cs="Arial"/>
          <w:lang w:val="en"/>
        </w:rPr>
        <w:t xml:space="preserve">day </w:t>
      </w:r>
      <w:r w:rsidRPr="00A91314">
        <w:rPr>
          <w:rFonts w:ascii="Arial" w:hAnsi="Arial" w:cs="Arial"/>
        </w:rPr>
        <w:t>centre</w:t>
      </w:r>
      <w:r w:rsidR="005763C8">
        <w:rPr>
          <w:rFonts w:ascii="Arial" w:hAnsi="Arial" w:cs="Arial"/>
        </w:rPr>
        <w:t xml:space="preserve">, </w:t>
      </w:r>
      <w:proofErr w:type="gramStart"/>
      <w:r w:rsidR="005763C8">
        <w:rPr>
          <w:rFonts w:ascii="Arial" w:hAnsi="Arial" w:cs="Arial"/>
        </w:rPr>
        <w:t>respite</w:t>
      </w:r>
      <w:proofErr w:type="gramEnd"/>
      <w:r w:rsidRPr="009B6169">
        <w:rPr>
          <w:rFonts w:ascii="Arial" w:hAnsi="Arial" w:cs="Arial"/>
          <w:lang w:val="en"/>
        </w:rPr>
        <w:t xml:space="preserve"> and transport arrangements</w:t>
      </w:r>
    </w:p>
    <w:p w14:paraId="5F31704B" w14:textId="0A58586D" w:rsidR="00990CA5" w:rsidRDefault="00044D4B" w:rsidP="00990CA5">
      <w:pPr>
        <w:numPr>
          <w:ilvl w:val="0"/>
          <w:numId w:val="4"/>
        </w:numPr>
        <w:spacing w:after="160" w:line="360" w:lineRule="auto"/>
        <w:contextualSpacing/>
        <w:rPr>
          <w:rFonts w:ascii="Arial" w:hAnsi="Arial" w:cs="Arial"/>
          <w:lang w:val="en"/>
        </w:rPr>
      </w:pPr>
      <w:r>
        <w:rPr>
          <w:rFonts w:ascii="Arial" w:hAnsi="Arial" w:cs="Arial"/>
          <w:lang w:val="en"/>
        </w:rPr>
        <w:t>LPS to include</w:t>
      </w:r>
      <w:r w:rsidR="007F5651" w:rsidRPr="009B6169">
        <w:rPr>
          <w:rFonts w:ascii="Arial" w:hAnsi="Arial" w:cs="Arial"/>
          <w:lang w:val="en"/>
        </w:rPr>
        <w:t xml:space="preserve"> </w:t>
      </w:r>
      <w:r w:rsidR="003E5F60" w:rsidRPr="009B6169">
        <w:rPr>
          <w:rFonts w:ascii="Arial" w:hAnsi="Arial" w:cs="Arial"/>
          <w:lang w:val="en"/>
        </w:rPr>
        <w:t>16- and 17-year</w:t>
      </w:r>
      <w:r w:rsidR="007F5651" w:rsidRPr="009B6169">
        <w:rPr>
          <w:rFonts w:ascii="Arial" w:hAnsi="Arial" w:cs="Arial"/>
          <w:lang w:val="en"/>
        </w:rPr>
        <w:t xml:space="preserve"> </w:t>
      </w:r>
      <w:r w:rsidR="003E5F60" w:rsidRPr="009B6169">
        <w:rPr>
          <w:rFonts w:ascii="Arial" w:hAnsi="Arial" w:cs="Arial"/>
          <w:lang w:val="en"/>
        </w:rPr>
        <w:t>old’s</w:t>
      </w:r>
      <w:r w:rsidR="00D417EE">
        <w:rPr>
          <w:rFonts w:ascii="Arial" w:hAnsi="Arial" w:cs="Arial"/>
          <w:lang w:val="en"/>
        </w:rPr>
        <w:t xml:space="preserve"> (though the new C</w:t>
      </w:r>
      <w:r w:rsidR="00F41CBA">
        <w:rPr>
          <w:rFonts w:ascii="Arial" w:hAnsi="Arial" w:cs="Arial"/>
          <w:lang w:val="en"/>
        </w:rPr>
        <w:t xml:space="preserve">linical </w:t>
      </w:r>
      <w:r w:rsidR="00D417EE">
        <w:rPr>
          <w:rFonts w:ascii="Arial" w:hAnsi="Arial" w:cs="Arial"/>
          <w:lang w:val="en"/>
        </w:rPr>
        <w:t>C</w:t>
      </w:r>
      <w:r w:rsidR="00F41CBA">
        <w:rPr>
          <w:rFonts w:ascii="Arial" w:hAnsi="Arial" w:cs="Arial"/>
          <w:lang w:val="en"/>
        </w:rPr>
        <w:t xml:space="preserve">ommissioning </w:t>
      </w:r>
      <w:r w:rsidR="00D417EE">
        <w:rPr>
          <w:rFonts w:ascii="Arial" w:hAnsi="Arial" w:cs="Arial"/>
          <w:lang w:val="en"/>
        </w:rPr>
        <w:t>G</w:t>
      </w:r>
      <w:r w:rsidR="00F41CBA">
        <w:rPr>
          <w:rFonts w:ascii="Arial" w:hAnsi="Arial" w:cs="Arial"/>
          <w:lang w:val="en"/>
        </w:rPr>
        <w:t>roup</w:t>
      </w:r>
      <w:r w:rsidR="00D417EE">
        <w:rPr>
          <w:rFonts w:ascii="Arial" w:hAnsi="Arial" w:cs="Arial"/>
          <w:lang w:val="en"/>
        </w:rPr>
        <w:t xml:space="preserve"> </w:t>
      </w:r>
      <w:r w:rsidR="00F41CBA">
        <w:rPr>
          <w:rFonts w:ascii="Arial" w:hAnsi="Arial" w:cs="Arial"/>
          <w:lang w:val="en"/>
        </w:rPr>
        <w:t xml:space="preserve">(CCG) </w:t>
      </w:r>
      <w:r w:rsidR="00D417EE">
        <w:rPr>
          <w:rFonts w:ascii="Arial" w:hAnsi="Arial" w:cs="Arial"/>
          <w:lang w:val="en"/>
        </w:rPr>
        <w:t>/ I</w:t>
      </w:r>
      <w:r w:rsidR="00F41CBA">
        <w:rPr>
          <w:rFonts w:ascii="Arial" w:hAnsi="Arial" w:cs="Arial"/>
          <w:lang w:val="en"/>
        </w:rPr>
        <w:t xml:space="preserve">ntegrated </w:t>
      </w:r>
      <w:r w:rsidR="00D417EE">
        <w:rPr>
          <w:rFonts w:ascii="Arial" w:hAnsi="Arial" w:cs="Arial"/>
          <w:lang w:val="en"/>
        </w:rPr>
        <w:t>C</w:t>
      </w:r>
      <w:r w:rsidR="00F41CBA">
        <w:rPr>
          <w:rFonts w:ascii="Arial" w:hAnsi="Arial" w:cs="Arial"/>
          <w:lang w:val="en"/>
        </w:rPr>
        <w:t xml:space="preserve">are </w:t>
      </w:r>
      <w:r w:rsidR="00D417EE">
        <w:rPr>
          <w:rFonts w:ascii="Arial" w:hAnsi="Arial" w:cs="Arial"/>
          <w:lang w:val="en"/>
        </w:rPr>
        <w:t>S</w:t>
      </w:r>
      <w:r w:rsidR="00F41CBA">
        <w:rPr>
          <w:rFonts w:ascii="Arial" w:hAnsi="Arial" w:cs="Arial"/>
          <w:lang w:val="en"/>
        </w:rPr>
        <w:t>ystem (ICS)</w:t>
      </w:r>
      <w:r w:rsidR="00D417EE">
        <w:rPr>
          <w:rFonts w:ascii="Arial" w:hAnsi="Arial" w:cs="Arial"/>
          <w:lang w:val="en"/>
        </w:rPr>
        <w:t xml:space="preserve"> responsibilities are </w:t>
      </w:r>
      <w:r w:rsidR="00975D62">
        <w:rPr>
          <w:rFonts w:ascii="Arial" w:hAnsi="Arial" w:cs="Arial"/>
          <w:lang w:val="en"/>
        </w:rPr>
        <w:t xml:space="preserve">for </w:t>
      </w:r>
      <w:r w:rsidR="00D417EE">
        <w:rPr>
          <w:rFonts w:ascii="Arial" w:hAnsi="Arial" w:cs="Arial"/>
          <w:lang w:val="en"/>
        </w:rPr>
        <w:t>patients who are C</w:t>
      </w:r>
      <w:r w:rsidR="00F41CBA">
        <w:rPr>
          <w:rFonts w:ascii="Arial" w:hAnsi="Arial" w:cs="Arial"/>
          <w:lang w:val="en"/>
        </w:rPr>
        <w:t xml:space="preserve">ontinuing </w:t>
      </w:r>
      <w:r w:rsidR="00D417EE">
        <w:rPr>
          <w:rFonts w:ascii="Arial" w:hAnsi="Arial" w:cs="Arial"/>
          <w:lang w:val="en"/>
        </w:rPr>
        <w:t>H</w:t>
      </w:r>
      <w:r w:rsidR="00F41CBA">
        <w:rPr>
          <w:rFonts w:ascii="Arial" w:hAnsi="Arial" w:cs="Arial"/>
          <w:lang w:val="en"/>
        </w:rPr>
        <w:t>ealthcare (CH</w:t>
      </w:r>
      <w:r w:rsidR="00D417EE">
        <w:rPr>
          <w:rFonts w:ascii="Arial" w:hAnsi="Arial" w:cs="Arial"/>
          <w:lang w:val="en"/>
        </w:rPr>
        <w:t>C</w:t>
      </w:r>
      <w:r w:rsidR="00F41CBA">
        <w:rPr>
          <w:rFonts w:ascii="Arial" w:hAnsi="Arial" w:cs="Arial"/>
          <w:lang w:val="en"/>
        </w:rPr>
        <w:t>)</w:t>
      </w:r>
      <w:r w:rsidR="00D417EE">
        <w:rPr>
          <w:rFonts w:ascii="Arial" w:hAnsi="Arial" w:cs="Arial"/>
          <w:lang w:val="en"/>
        </w:rPr>
        <w:t xml:space="preserve"> funded, </w:t>
      </w:r>
      <w:proofErr w:type="gramStart"/>
      <w:r w:rsidR="003E5F60">
        <w:rPr>
          <w:rFonts w:ascii="Arial" w:hAnsi="Arial" w:cs="Arial"/>
          <w:lang w:val="en"/>
        </w:rPr>
        <w:t>i.e.</w:t>
      </w:r>
      <w:proofErr w:type="gramEnd"/>
      <w:r w:rsidR="00D417EE">
        <w:rPr>
          <w:rFonts w:ascii="Arial" w:hAnsi="Arial" w:cs="Arial"/>
          <w:lang w:val="en"/>
        </w:rPr>
        <w:t xml:space="preserve"> only over 18 years) </w:t>
      </w:r>
    </w:p>
    <w:p w14:paraId="6EFC97C5" w14:textId="26012652" w:rsidR="00221091" w:rsidRPr="00990CA5" w:rsidRDefault="005763C8" w:rsidP="00990CA5">
      <w:pPr>
        <w:numPr>
          <w:ilvl w:val="0"/>
          <w:numId w:val="4"/>
        </w:numPr>
        <w:spacing w:after="160" w:line="360" w:lineRule="auto"/>
        <w:contextualSpacing/>
        <w:rPr>
          <w:rFonts w:ascii="Arial" w:hAnsi="Arial" w:cs="Arial"/>
          <w:lang w:val="en"/>
        </w:rPr>
      </w:pPr>
      <w:r>
        <w:rPr>
          <w:rFonts w:ascii="Arial" w:hAnsi="Arial" w:cs="Arial"/>
          <w:lang w:val="en"/>
        </w:rPr>
        <w:t>New “</w:t>
      </w:r>
      <w:r w:rsidR="007F5651" w:rsidRPr="00990CA5">
        <w:rPr>
          <w:rFonts w:ascii="Arial" w:hAnsi="Arial" w:cs="Arial"/>
          <w:lang w:val="en"/>
        </w:rPr>
        <w:t>Responsible Body</w:t>
      </w:r>
      <w:r>
        <w:rPr>
          <w:rFonts w:ascii="Arial" w:hAnsi="Arial" w:cs="Arial"/>
          <w:lang w:val="en"/>
        </w:rPr>
        <w:t>”</w:t>
      </w:r>
      <w:r w:rsidR="007F5651" w:rsidRPr="00990CA5">
        <w:rPr>
          <w:rFonts w:ascii="Arial" w:hAnsi="Arial" w:cs="Arial"/>
          <w:lang w:val="en"/>
        </w:rPr>
        <w:t xml:space="preserve"> (currently</w:t>
      </w:r>
      <w:r>
        <w:rPr>
          <w:rFonts w:ascii="Arial" w:hAnsi="Arial" w:cs="Arial"/>
          <w:lang w:val="en"/>
        </w:rPr>
        <w:t xml:space="preserve"> under </w:t>
      </w:r>
      <w:proofErr w:type="spellStart"/>
      <w:r>
        <w:rPr>
          <w:rFonts w:ascii="Arial" w:hAnsi="Arial" w:cs="Arial"/>
          <w:lang w:val="en"/>
        </w:rPr>
        <w:t>DoLS</w:t>
      </w:r>
      <w:proofErr w:type="spellEnd"/>
      <w:r w:rsidR="007F5651" w:rsidRPr="00990CA5">
        <w:rPr>
          <w:rFonts w:ascii="Arial" w:hAnsi="Arial" w:cs="Arial"/>
          <w:lang w:val="en"/>
        </w:rPr>
        <w:t xml:space="preserve"> </w:t>
      </w:r>
      <w:r>
        <w:rPr>
          <w:rFonts w:ascii="Arial" w:hAnsi="Arial" w:cs="Arial"/>
          <w:lang w:val="en"/>
        </w:rPr>
        <w:t xml:space="preserve">only local authorities, called the </w:t>
      </w:r>
      <w:r w:rsidR="007F5651" w:rsidRPr="00990CA5">
        <w:rPr>
          <w:rFonts w:ascii="Arial" w:hAnsi="Arial" w:cs="Arial"/>
          <w:lang w:val="en"/>
        </w:rPr>
        <w:t>Supervisory Body) role extended to C</w:t>
      </w:r>
      <w:r w:rsidR="003E5F60">
        <w:rPr>
          <w:rFonts w:ascii="Arial" w:hAnsi="Arial" w:cs="Arial"/>
          <w:lang w:val="en"/>
        </w:rPr>
        <w:t>CGs</w:t>
      </w:r>
      <w:r w:rsidR="0089433E" w:rsidRPr="00990CA5">
        <w:rPr>
          <w:rFonts w:ascii="Arial" w:hAnsi="Arial" w:cs="Arial"/>
          <w:lang w:val="en"/>
        </w:rPr>
        <w:t>/ICS</w:t>
      </w:r>
      <w:r w:rsidR="00F41CBA">
        <w:rPr>
          <w:rFonts w:ascii="Arial" w:hAnsi="Arial" w:cs="Arial"/>
          <w:lang w:val="en"/>
        </w:rPr>
        <w:t>s</w:t>
      </w:r>
      <w:r w:rsidR="007F5651" w:rsidRPr="00990CA5">
        <w:rPr>
          <w:rFonts w:ascii="Arial" w:hAnsi="Arial" w:cs="Arial"/>
          <w:lang w:val="en"/>
        </w:rPr>
        <w:t xml:space="preserve"> and Hospital Trusts</w:t>
      </w:r>
      <w:r w:rsidR="003E5F60">
        <w:rPr>
          <w:rFonts w:ascii="Arial" w:hAnsi="Arial" w:cs="Arial"/>
          <w:lang w:val="en"/>
        </w:rPr>
        <w:t xml:space="preserve"> (including NHS Foundation Trusts) </w:t>
      </w:r>
    </w:p>
    <w:p w14:paraId="61959147" w14:textId="561CCD3F" w:rsidR="00221091" w:rsidRPr="00D31EBB" w:rsidRDefault="00221091" w:rsidP="00990CA5">
      <w:pPr>
        <w:numPr>
          <w:ilvl w:val="0"/>
          <w:numId w:val="4"/>
        </w:numPr>
        <w:spacing w:after="160" w:line="360" w:lineRule="auto"/>
        <w:contextualSpacing/>
        <w:rPr>
          <w:rFonts w:ascii="Arial" w:hAnsi="Arial" w:cs="Arial"/>
          <w:lang w:val="en"/>
        </w:rPr>
      </w:pPr>
      <w:r w:rsidRPr="00D31EBB">
        <w:rPr>
          <w:rFonts w:ascii="Arial" w:hAnsi="Arial" w:cs="Arial"/>
          <w:lang w:val="en"/>
        </w:rPr>
        <w:t xml:space="preserve">New responsible bodies will be responsible for </w:t>
      </w:r>
      <w:r w:rsidRPr="00D31EBB">
        <w:rPr>
          <w:rFonts w:ascii="Arial" w:hAnsi="Arial" w:cs="Arial"/>
        </w:rPr>
        <w:t>organising</w:t>
      </w:r>
      <w:r w:rsidRPr="00D31EBB">
        <w:rPr>
          <w:rFonts w:ascii="Arial" w:hAnsi="Arial" w:cs="Arial"/>
          <w:lang w:val="en"/>
        </w:rPr>
        <w:t xml:space="preserve"> assessments, </w:t>
      </w:r>
      <w:proofErr w:type="gramStart"/>
      <w:r w:rsidR="00990CA5" w:rsidRPr="00D31EBB">
        <w:rPr>
          <w:rFonts w:ascii="Arial" w:hAnsi="Arial" w:cs="Arial"/>
          <w:lang w:val="en"/>
        </w:rPr>
        <w:t xml:space="preserve">pre </w:t>
      </w:r>
      <w:r w:rsidR="00990CA5" w:rsidRPr="00D31EBB">
        <w:rPr>
          <w:rFonts w:ascii="Arial" w:hAnsi="Arial" w:cs="Arial"/>
        </w:rPr>
        <w:t>authorisation</w:t>
      </w:r>
      <w:proofErr w:type="gramEnd"/>
      <w:r w:rsidR="00990CA5" w:rsidRPr="00D31EBB">
        <w:rPr>
          <w:rFonts w:ascii="Arial" w:hAnsi="Arial" w:cs="Arial"/>
          <w:lang w:val="en"/>
        </w:rPr>
        <w:t xml:space="preserve"> </w:t>
      </w:r>
      <w:r w:rsidRPr="00D31EBB">
        <w:rPr>
          <w:rFonts w:ascii="Arial" w:hAnsi="Arial" w:cs="Arial"/>
          <w:lang w:val="en"/>
        </w:rPr>
        <w:t xml:space="preserve">reviews, </w:t>
      </w:r>
      <w:r w:rsidRPr="00D31EBB">
        <w:rPr>
          <w:rFonts w:ascii="Arial" w:hAnsi="Arial" w:cs="Arial"/>
        </w:rPr>
        <w:t>authorising</w:t>
      </w:r>
      <w:r w:rsidRPr="00D31EBB">
        <w:rPr>
          <w:rFonts w:ascii="Arial" w:hAnsi="Arial" w:cs="Arial"/>
          <w:lang w:val="en"/>
        </w:rPr>
        <w:t xml:space="preserve"> any deprivation of liberty and monitoring. </w:t>
      </w:r>
    </w:p>
    <w:p w14:paraId="0EBA36C8" w14:textId="7C5D6320" w:rsidR="007F5651" w:rsidRDefault="007F5651" w:rsidP="007F5651">
      <w:pPr>
        <w:numPr>
          <w:ilvl w:val="0"/>
          <w:numId w:val="4"/>
        </w:numPr>
        <w:autoSpaceDE w:val="0"/>
        <w:autoSpaceDN w:val="0"/>
        <w:adjustRightInd w:val="0"/>
        <w:spacing w:after="162" w:line="360" w:lineRule="auto"/>
        <w:contextualSpacing/>
        <w:rPr>
          <w:rFonts w:ascii="Arial" w:hAnsi="Arial" w:cs="Arial"/>
          <w:color w:val="000000"/>
        </w:rPr>
      </w:pPr>
      <w:r w:rsidRPr="009B6169">
        <w:rPr>
          <w:rFonts w:ascii="Arial" w:hAnsi="Arial" w:cs="Arial"/>
          <w:color w:val="000000"/>
        </w:rPr>
        <w:t xml:space="preserve">Reducing the existing 6 </w:t>
      </w:r>
      <w:proofErr w:type="spellStart"/>
      <w:r w:rsidR="00975D62">
        <w:rPr>
          <w:rFonts w:ascii="Arial" w:hAnsi="Arial" w:cs="Arial"/>
          <w:color w:val="000000"/>
        </w:rPr>
        <w:t>Do</w:t>
      </w:r>
      <w:r w:rsidR="005763C8">
        <w:rPr>
          <w:rFonts w:ascii="Arial" w:hAnsi="Arial" w:cs="Arial"/>
          <w:color w:val="000000"/>
        </w:rPr>
        <w:t>LS</w:t>
      </w:r>
      <w:proofErr w:type="spellEnd"/>
      <w:r w:rsidR="005763C8">
        <w:rPr>
          <w:rFonts w:ascii="Arial" w:hAnsi="Arial" w:cs="Arial"/>
          <w:color w:val="000000"/>
        </w:rPr>
        <w:t xml:space="preserve"> </w:t>
      </w:r>
      <w:r w:rsidRPr="009B6169">
        <w:rPr>
          <w:rFonts w:ascii="Arial" w:hAnsi="Arial" w:cs="Arial"/>
          <w:color w:val="000000"/>
        </w:rPr>
        <w:t>assessments to 3 – mental capacity assessment, medical assessment, and a ‘necessary and proportionate’ assessment; these may be embedded into existing care planning</w:t>
      </w:r>
      <w:r w:rsidR="00553CE3">
        <w:rPr>
          <w:rFonts w:ascii="Arial" w:hAnsi="Arial" w:cs="Arial"/>
          <w:color w:val="000000"/>
        </w:rPr>
        <w:t xml:space="preserve">, with previous </w:t>
      </w:r>
      <w:proofErr w:type="spellStart"/>
      <w:r w:rsidR="00553CE3">
        <w:rPr>
          <w:rFonts w:ascii="Arial" w:hAnsi="Arial" w:cs="Arial"/>
          <w:color w:val="000000"/>
        </w:rPr>
        <w:t>D</w:t>
      </w:r>
      <w:r w:rsidR="005763C8">
        <w:rPr>
          <w:rFonts w:ascii="Arial" w:hAnsi="Arial" w:cs="Arial"/>
          <w:color w:val="000000"/>
        </w:rPr>
        <w:t>o</w:t>
      </w:r>
      <w:r w:rsidR="00553CE3">
        <w:rPr>
          <w:rFonts w:ascii="Arial" w:hAnsi="Arial" w:cs="Arial"/>
          <w:color w:val="000000"/>
        </w:rPr>
        <w:t>LS</w:t>
      </w:r>
      <w:proofErr w:type="spellEnd"/>
      <w:r w:rsidR="00553CE3">
        <w:rPr>
          <w:rFonts w:ascii="Arial" w:hAnsi="Arial" w:cs="Arial"/>
          <w:color w:val="000000"/>
        </w:rPr>
        <w:t xml:space="preserve"> assessment requirements moving to a </w:t>
      </w:r>
      <w:r w:rsidR="003E5F60">
        <w:rPr>
          <w:rFonts w:ascii="Arial" w:hAnsi="Arial" w:cs="Arial"/>
          <w:color w:val="000000"/>
        </w:rPr>
        <w:t>fact-finding</w:t>
      </w:r>
      <w:r w:rsidR="00553CE3">
        <w:rPr>
          <w:rFonts w:ascii="Arial" w:hAnsi="Arial" w:cs="Arial"/>
          <w:color w:val="000000"/>
        </w:rPr>
        <w:t xml:space="preserve"> process</w:t>
      </w:r>
    </w:p>
    <w:p w14:paraId="2454BA40" w14:textId="5ECC8C94" w:rsidR="00990CA5" w:rsidRPr="00990CA5" w:rsidRDefault="00990CA5" w:rsidP="00975D62">
      <w:pPr>
        <w:numPr>
          <w:ilvl w:val="0"/>
          <w:numId w:val="4"/>
        </w:numPr>
        <w:autoSpaceDE w:val="0"/>
        <w:autoSpaceDN w:val="0"/>
        <w:adjustRightInd w:val="0"/>
        <w:spacing w:after="162" w:line="360" w:lineRule="auto"/>
        <w:contextualSpacing/>
        <w:rPr>
          <w:rFonts w:ascii="Arial" w:hAnsi="Arial" w:cs="Arial"/>
          <w:color w:val="000000"/>
        </w:rPr>
      </w:pPr>
      <w:r w:rsidRPr="00990CA5">
        <w:rPr>
          <w:rFonts w:ascii="Arial" w:hAnsi="Arial" w:cs="Arial"/>
          <w:color w:val="000000"/>
        </w:rPr>
        <w:t xml:space="preserve">New role of Approved Mental Capacity Professional (AMCP) </w:t>
      </w:r>
      <w:r w:rsidR="005763C8">
        <w:rPr>
          <w:rFonts w:ascii="Arial" w:hAnsi="Arial" w:cs="Arial"/>
          <w:color w:val="000000"/>
        </w:rPr>
        <w:t>instead of the</w:t>
      </w:r>
      <w:r w:rsidRPr="00990CA5">
        <w:rPr>
          <w:rFonts w:ascii="Arial" w:hAnsi="Arial" w:cs="Arial"/>
          <w:color w:val="000000"/>
        </w:rPr>
        <w:t xml:space="preserve"> role of</w:t>
      </w:r>
      <w:r w:rsidR="00511972">
        <w:rPr>
          <w:rFonts w:ascii="Arial" w:hAnsi="Arial" w:cs="Arial"/>
          <w:color w:val="000000"/>
        </w:rPr>
        <w:t xml:space="preserve"> the current</w:t>
      </w:r>
      <w:r w:rsidRPr="00990CA5">
        <w:rPr>
          <w:rFonts w:ascii="Arial" w:hAnsi="Arial" w:cs="Arial"/>
          <w:color w:val="000000"/>
        </w:rPr>
        <w:t xml:space="preserve"> </w:t>
      </w:r>
      <w:proofErr w:type="spellStart"/>
      <w:r w:rsidR="00975D62">
        <w:rPr>
          <w:rFonts w:ascii="Arial" w:hAnsi="Arial" w:cs="Arial"/>
          <w:color w:val="000000"/>
        </w:rPr>
        <w:t>Do</w:t>
      </w:r>
      <w:r w:rsidR="005763C8">
        <w:rPr>
          <w:rFonts w:ascii="Arial" w:hAnsi="Arial" w:cs="Arial"/>
          <w:color w:val="000000"/>
        </w:rPr>
        <w:t>LS</w:t>
      </w:r>
      <w:proofErr w:type="spellEnd"/>
      <w:r w:rsidR="005763C8">
        <w:rPr>
          <w:rFonts w:ascii="Arial" w:hAnsi="Arial" w:cs="Arial"/>
          <w:color w:val="000000"/>
        </w:rPr>
        <w:t xml:space="preserve"> </w:t>
      </w:r>
      <w:r w:rsidRPr="00990CA5">
        <w:rPr>
          <w:rFonts w:ascii="Arial" w:hAnsi="Arial" w:cs="Arial"/>
          <w:color w:val="000000"/>
        </w:rPr>
        <w:t>B</w:t>
      </w:r>
      <w:r w:rsidR="00511972">
        <w:rPr>
          <w:rFonts w:ascii="Arial" w:hAnsi="Arial" w:cs="Arial"/>
          <w:color w:val="000000"/>
        </w:rPr>
        <w:t xml:space="preserve">est </w:t>
      </w:r>
      <w:r w:rsidRPr="00990CA5">
        <w:rPr>
          <w:rFonts w:ascii="Arial" w:hAnsi="Arial" w:cs="Arial"/>
          <w:color w:val="000000"/>
        </w:rPr>
        <w:t>I</w:t>
      </w:r>
      <w:r w:rsidR="00511972">
        <w:rPr>
          <w:rFonts w:ascii="Arial" w:hAnsi="Arial" w:cs="Arial"/>
          <w:color w:val="000000"/>
        </w:rPr>
        <w:t xml:space="preserve">nterests </w:t>
      </w:r>
      <w:r w:rsidRPr="00990CA5">
        <w:rPr>
          <w:rFonts w:ascii="Arial" w:hAnsi="Arial" w:cs="Arial"/>
          <w:color w:val="000000"/>
        </w:rPr>
        <w:t>A</w:t>
      </w:r>
      <w:r w:rsidR="00511972">
        <w:rPr>
          <w:rFonts w:ascii="Arial" w:hAnsi="Arial" w:cs="Arial"/>
          <w:color w:val="000000"/>
        </w:rPr>
        <w:t>ssessor (BIA)</w:t>
      </w:r>
      <w:r w:rsidRPr="00990CA5">
        <w:rPr>
          <w:rFonts w:ascii="Arial" w:hAnsi="Arial" w:cs="Arial"/>
          <w:color w:val="000000"/>
        </w:rPr>
        <w:t xml:space="preserve"> – likely to be first tier nurses, occupational </w:t>
      </w:r>
      <w:proofErr w:type="gramStart"/>
      <w:r w:rsidRPr="00990CA5">
        <w:rPr>
          <w:rFonts w:ascii="Arial" w:hAnsi="Arial" w:cs="Arial"/>
          <w:color w:val="000000"/>
        </w:rPr>
        <w:t>therapists</w:t>
      </w:r>
      <w:proofErr w:type="gramEnd"/>
      <w:r w:rsidRPr="00990CA5">
        <w:rPr>
          <w:rFonts w:ascii="Arial" w:hAnsi="Arial" w:cs="Arial"/>
          <w:color w:val="000000"/>
        </w:rPr>
        <w:t xml:space="preserve"> and social workers, awaiting regulations</w:t>
      </w:r>
      <w:r w:rsidR="005763C8">
        <w:rPr>
          <w:rFonts w:ascii="Arial" w:hAnsi="Arial" w:cs="Arial"/>
          <w:color w:val="000000"/>
        </w:rPr>
        <w:t xml:space="preserve">, with the AMCP to be involved only in certain cases, rather than the BIA in every </w:t>
      </w:r>
      <w:proofErr w:type="spellStart"/>
      <w:r w:rsidR="005763C8">
        <w:rPr>
          <w:rFonts w:ascii="Arial" w:hAnsi="Arial" w:cs="Arial"/>
          <w:color w:val="000000"/>
        </w:rPr>
        <w:t>DoLS</w:t>
      </w:r>
      <w:proofErr w:type="spellEnd"/>
      <w:r w:rsidR="005763C8">
        <w:rPr>
          <w:rFonts w:ascii="Arial" w:hAnsi="Arial" w:cs="Arial"/>
          <w:color w:val="000000"/>
        </w:rPr>
        <w:t xml:space="preserve"> case</w:t>
      </w:r>
    </w:p>
    <w:p w14:paraId="18D45D3E" w14:textId="77777777" w:rsidR="007F5651" w:rsidRPr="009B6169" w:rsidRDefault="007F5651" w:rsidP="007F5651">
      <w:pPr>
        <w:numPr>
          <w:ilvl w:val="0"/>
          <w:numId w:val="4"/>
        </w:numPr>
        <w:autoSpaceDE w:val="0"/>
        <w:autoSpaceDN w:val="0"/>
        <w:adjustRightInd w:val="0"/>
        <w:spacing w:after="160" w:line="360" w:lineRule="auto"/>
        <w:contextualSpacing/>
        <w:rPr>
          <w:rFonts w:ascii="Calibri" w:hAnsi="Calibri" w:cs="Calibri"/>
          <w:color w:val="000000"/>
        </w:rPr>
      </w:pPr>
      <w:r w:rsidRPr="009B6169">
        <w:rPr>
          <w:rFonts w:ascii="Arial" w:hAnsi="Arial" w:cs="Arial"/>
          <w:color w:val="000000"/>
        </w:rPr>
        <w:t xml:space="preserve">AMCP completes pre-authorisation review where an objection has been raised, in independent hospital cases or other relevant (complex) cases as set out in the Code of Practice – will meet with person, complete </w:t>
      </w:r>
      <w:proofErr w:type="gramStart"/>
      <w:r w:rsidRPr="009B6169">
        <w:rPr>
          <w:rFonts w:ascii="Arial" w:hAnsi="Arial" w:cs="Arial"/>
          <w:color w:val="000000"/>
        </w:rPr>
        <w:t>consultation</w:t>
      </w:r>
      <w:proofErr w:type="gramEnd"/>
      <w:r w:rsidRPr="009B6169">
        <w:rPr>
          <w:rFonts w:ascii="Arial" w:hAnsi="Arial" w:cs="Arial"/>
          <w:color w:val="000000"/>
        </w:rPr>
        <w:t xml:space="preserve"> and look at information relied upon for assessments</w:t>
      </w:r>
    </w:p>
    <w:p w14:paraId="2609CB0C" w14:textId="29FACBF8" w:rsidR="007F5651" w:rsidRPr="00D31EBB" w:rsidRDefault="007F5651" w:rsidP="007F5651">
      <w:pPr>
        <w:numPr>
          <w:ilvl w:val="0"/>
          <w:numId w:val="4"/>
        </w:numPr>
        <w:spacing w:after="160" w:line="360" w:lineRule="auto"/>
        <w:contextualSpacing/>
        <w:rPr>
          <w:rFonts w:ascii="Arial" w:hAnsi="Arial" w:cs="Arial"/>
          <w:lang w:val="en"/>
        </w:rPr>
      </w:pPr>
      <w:r w:rsidRPr="009B6169">
        <w:rPr>
          <w:rFonts w:ascii="Arial" w:hAnsi="Arial" w:cs="Arial"/>
          <w:lang w:val="en"/>
        </w:rPr>
        <w:t xml:space="preserve">Qualified staff to undertake most of LPS assessments, to be completed as part </w:t>
      </w:r>
      <w:r w:rsidRPr="00D31EBB">
        <w:rPr>
          <w:rFonts w:ascii="Arial" w:hAnsi="Arial" w:cs="Arial"/>
          <w:lang w:val="en"/>
        </w:rPr>
        <w:t xml:space="preserve">of </w:t>
      </w:r>
      <w:r w:rsidR="00990CA5" w:rsidRPr="00D31EBB">
        <w:rPr>
          <w:rFonts w:ascii="Arial" w:hAnsi="Arial" w:cs="Arial"/>
          <w:lang w:val="en"/>
        </w:rPr>
        <w:t xml:space="preserve">routine care or </w:t>
      </w:r>
      <w:r w:rsidRPr="00D31EBB">
        <w:rPr>
          <w:rFonts w:ascii="Arial" w:hAnsi="Arial" w:cs="Arial"/>
          <w:lang w:val="en"/>
        </w:rPr>
        <w:t>Care Act Assessment</w:t>
      </w:r>
    </w:p>
    <w:p w14:paraId="60BF55B0" w14:textId="09144B2B" w:rsidR="007F5651" w:rsidRPr="00D31EBB" w:rsidRDefault="007F5651" w:rsidP="007F5651">
      <w:pPr>
        <w:numPr>
          <w:ilvl w:val="0"/>
          <w:numId w:val="4"/>
        </w:numPr>
        <w:spacing w:after="160" w:line="360" w:lineRule="auto"/>
        <w:contextualSpacing/>
        <w:rPr>
          <w:rFonts w:ascii="Arial" w:hAnsi="Arial" w:cs="Arial"/>
          <w:lang w:val="en"/>
        </w:rPr>
      </w:pPr>
      <w:r w:rsidRPr="00D31EBB">
        <w:rPr>
          <w:rFonts w:ascii="Arial" w:hAnsi="Arial" w:cs="Arial"/>
          <w:lang w:val="en"/>
        </w:rPr>
        <w:t xml:space="preserve">No need for </w:t>
      </w:r>
      <w:proofErr w:type="spellStart"/>
      <w:r w:rsidRPr="00D31EBB">
        <w:rPr>
          <w:rFonts w:ascii="Arial" w:hAnsi="Arial" w:cs="Arial"/>
          <w:lang w:val="en"/>
        </w:rPr>
        <w:t>D</w:t>
      </w:r>
      <w:r w:rsidR="005763C8">
        <w:rPr>
          <w:rFonts w:ascii="Arial" w:hAnsi="Arial" w:cs="Arial"/>
          <w:lang w:val="en"/>
        </w:rPr>
        <w:t>o</w:t>
      </w:r>
      <w:r w:rsidRPr="00D31EBB">
        <w:rPr>
          <w:rFonts w:ascii="Arial" w:hAnsi="Arial" w:cs="Arial"/>
          <w:lang w:val="en"/>
        </w:rPr>
        <w:t>LS</w:t>
      </w:r>
      <w:proofErr w:type="spellEnd"/>
      <w:r w:rsidRPr="00D31EBB">
        <w:rPr>
          <w:rFonts w:ascii="Arial" w:hAnsi="Arial" w:cs="Arial"/>
          <w:lang w:val="en"/>
        </w:rPr>
        <w:t xml:space="preserve"> Mental Health Assessor / section 12 Doctor </w:t>
      </w:r>
      <w:r w:rsidR="00CE5F9A" w:rsidRPr="00D31EBB">
        <w:rPr>
          <w:rFonts w:ascii="Arial" w:hAnsi="Arial" w:cs="Arial"/>
          <w:lang w:val="en"/>
        </w:rPr>
        <w:t>– evidence of mental disorder can</w:t>
      </w:r>
      <w:r w:rsidRPr="00D31EBB">
        <w:rPr>
          <w:rFonts w:ascii="Arial" w:hAnsi="Arial" w:cs="Arial"/>
          <w:lang w:val="en"/>
        </w:rPr>
        <w:t xml:space="preserve"> be obtained </w:t>
      </w:r>
      <w:r w:rsidR="000E721B">
        <w:rPr>
          <w:rFonts w:ascii="Arial" w:hAnsi="Arial" w:cs="Arial"/>
          <w:lang w:val="en"/>
        </w:rPr>
        <w:t xml:space="preserve">more flexibly and from wider sources than under </w:t>
      </w:r>
      <w:proofErr w:type="spellStart"/>
      <w:r w:rsidR="000E721B">
        <w:rPr>
          <w:rFonts w:ascii="Arial" w:hAnsi="Arial" w:cs="Arial"/>
          <w:lang w:val="en"/>
        </w:rPr>
        <w:t>DoLS</w:t>
      </w:r>
      <w:proofErr w:type="spellEnd"/>
      <w:r w:rsidR="0095622E" w:rsidRPr="00D31EBB">
        <w:rPr>
          <w:rFonts w:ascii="Arial" w:hAnsi="Arial" w:cs="Arial"/>
          <w:lang w:val="en"/>
        </w:rPr>
        <w:t>, however if not known a doctor</w:t>
      </w:r>
      <w:r w:rsidR="000E721B">
        <w:rPr>
          <w:rFonts w:ascii="Arial" w:hAnsi="Arial" w:cs="Arial"/>
          <w:lang w:val="en"/>
        </w:rPr>
        <w:t>’</w:t>
      </w:r>
      <w:r w:rsidR="0095622E" w:rsidRPr="00D31EBB">
        <w:rPr>
          <w:rFonts w:ascii="Arial" w:hAnsi="Arial" w:cs="Arial"/>
          <w:lang w:val="en"/>
        </w:rPr>
        <w:t xml:space="preserve">s assessment </w:t>
      </w:r>
      <w:r w:rsidR="00553CE3" w:rsidRPr="00D31EBB">
        <w:rPr>
          <w:rFonts w:ascii="Arial" w:hAnsi="Arial" w:cs="Arial"/>
          <w:lang w:val="en"/>
        </w:rPr>
        <w:t>is likely to</w:t>
      </w:r>
      <w:r w:rsidR="0095622E" w:rsidRPr="00D31EBB">
        <w:rPr>
          <w:rFonts w:ascii="Arial" w:hAnsi="Arial" w:cs="Arial"/>
          <w:lang w:val="en"/>
        </w:rPr>
        <w:t xml:space="preserve"> be needed. </w:t>
      </w:r>
    </w:p>
    <w:p w14:paraId="6EEF098C" w14:textId="0AA4B8E0" w:rsidR="007F5651" w:rsidRPr="009B6169" w:rsidRDefault="007F5651" w:rsidP="007F5651">
      <w:pPr>
        <w:numPr>
          <w:ilvl w:val="0"/>
          <w:numId w:val="4"/>
        </w:numPr>
        <w:autoSpaceDE w:val="0"/>
        <w:autoSpaceDN w:val="0"/>
        <w:adjustRightInd w:val="0"/>
        <w:spacing w:after="160" w:line="360" w:lineRule="auto"/>
        <w:contextualSpacing/>
        <w:rPr>
          <w:rFonts w:ascii="Arial" w:hAnsi="Arial" w:cs="Arial"/>
          <w:color w:val="000000"/>
        </w:rPr>
      </w:pPr>
      <w:r w:rsidRPr="009B6169">
        <w:rPr>
          <w:rFonts w:ascii="Arial" w:hAnsi="Arial" w:cs="Arial"/>
          <w:color w:val="000000"/>
        </w:rPr>
        <w:t>Explicit duty to consult with carers and families</w:t>
      </w:r>
      <w:r w:rsidR="005763C8">
        <w:rPr>
          <w:rFonts w:ascii="Arial" w:hAnsi="Arial" w:cs="Arial"/>
          <w:color w:val="000000"/>
        </w:rPr>
        <w:t>, as well as the patient</w:t>
      </w:r>
    </w:p>
    <w:p w14:paraId="634E339F" w14:textId="794C99D6" w:rsidR="007F5651" w:rsidRPr="009B6169" w:rsidRDefault="007F5651" w:rsidP="007F5651">
      <w:pPr>
        <w:numPr>
          <w:ilvl w:val="0"/>
          <w:numId w:val="4"/>
        </w:numPr>
        <w:autoSpaceDE w:val="0"/>
        <w:autoSpaceDN w:val="0"/>
        <w:adjustRightInd w:val="0"/>
        <w:spacing w:after="162" w:line="360" w:lineRule="auto"/>
        <w:contextualSpacing/>
        <w:rPr>
          <w:rFonts w:ascii="Arial" w:hAnsi="Arial" w:cs="Arial"/>
          <w:color w:val="000000"/>
        </w:rPr>
      </w:pPr>
      <w:r w:rsidRPr="009B6169">
        <w:rPr>
          <w:rFonts w:ascii="Arial" w:hAnsi="Arial" w:cs="Arial"/>
          <w:color w:val="000000"/>
        </w:rPr>
        <w:t xml:space="preserve">People are supported throughout the process by an ‘appropriate person’; </w:t>
      </w:r>
      <w:r w:rsidR="005763C8">
        <w:rPr>
          <w:rFonts w:ascii="Arial" w:hAnsi="Arial" w:cs="Arial"/>
          <w:color w:val="000000"/>
        </w:rPr>
        <w:t xml:space="preserve">with </w:t>
      </w:r>
      <w:r w:rsidRPr="009B6169">
        <w:rPr>
          <w:rFonts w:ascii="Arial" w:hAnsi="Arial" w:cs="Arial"/>
          <w:color w:val="000000"/>
        </w:rPr>
        <w:t>an Independent Mental Capacity Advocate (IMCA) appointed if no such person available</w:t>
      </w:r>
    </w:p>
    <w:p w14:paraId="4A1F4D07" w14:textId="6392BE8E" w:rsidR="007F5651" w:rsidRPr="009B6169" w:rsidRDefault="007F5651" w:rsidP="007F5651">
      <w:pPr>
        <w:numPr>
          <w:ilvl w:val="0"/>
          <w:numId w:val="4"/>
        </w:numPr>
        <w:spacing w:after="160" w:line="360" w:lineRule="auto"/>
        <w:contextualSpacing/>
        <w:rPr>
          <w:rFonts w:ascii="Arial" w:hAnsi="Arial" w:cs="Arial"/>
          <w:lang w:val="en"/>
        </w:rPr>
      </w:pPr>
      <w:r w:rsidRPr="009B6169">
        <w:rPr>
          <w:rFonts w:ascii="Arial" w:hAnsi="Arial" w:cs="Arial"/>
          <w:lang w:val="en"/>
        </w:rPr>
        <w:lastRenderedPageBreak/>
        <w:t>Signing off LPS assessment involves pre-</w:t>
      </w:r>
      <w:proofErr w:type="spellStart"/>
      <w:r w:rsidRPr="009B6169">
        <w:rPr>
          <w:rFonts w:ascii="Arial" w:hAnsi="Arial" w:cs="Arial"/>
          <w:lang w:val="en"/>
        </w:rPr>
        <w:t>authorisation</w:t>
      </w:r>
      <w:proofErr w:type="spellEnd"/>
      <w:r w:rsidRPr="009B6169">
        <w:rPr>
          <w:rFonts w:ascii="Arial" w:hAnsi="Arial" w:cs="Arial"/>
          <w:lang w:val="en"/>
        </w:rPr>
        <w:t xml:space="preserve"> review and </w:t>
      </w:r>
      <w:r w:rsidR="005763C8">
        <w:rPr>
          <w:rFonts w:ascii="Arial" w:hAnsi="Arial" w:cs="Arial"/>
          <w:lang w:val="en"/>
        </w:rPr>
        <w:t xml:space="preserve">then </w:t>
      </w:r>
      <w:proofErr w:type="spellStart"/>
      <w:r w:rsidRPr="009B6169">
        <w:rPr>
          <w:rFonts w:ascii="Arial" w:hAnsi="Arial" w:cs="Arial"/>
          <w:lang w:val="en"/>
        </w:rPr>
        <w:t>authorisation</w:t>
      </w:r>
      <w:proofErr w:type="spellEnd"/>
    </w:p>
    <w:p w14:paraId="2DDADF75" w14:textId="47B09318" w:rsidR="007F5651" w:rsidRPr="000E721B" w:rsidRDefault="00864F92" w:rsidP="007F5651">
      <w:pPr>
        <w:numPr>
          <w:ilvl w:val="0"/>
          <w:numId w:val="4"/>
        </w:numPr>
        <w:autoSpaceDE w:val="0"/>
        <w:autoSpaceDN w:val="0"/>
        <w:adjustRightInd w:val="0"/>
        <w:spacing w:after="160" w:line="360" w:lineRule="auto"/>
        <w:contextualSpacing/>
        <w:rPr>
          <w:rFonts w:ascii="Arial" w:hAnsi="Arial" w:cs="Arial"/>
          <w:color w:val="000000"/>
        </w:rPr>
      </w:pPr>
      <w:r w:rsidRPr="000E721B">
        <w:rPr>
          <w:rFonts w:ascii="Arial" w:hAnsi="Arial" w:cs="Arial"/>
          <w:color w:val="000000"/>
        </w:rPr>
        <w:t>An</w:t>
      </w:r>
      <w:r w:rsidR="005763C8" w:rsidRPr="000E721B">
        <w:rPr>
          <w:rFonts w:ascii="Arial" w:hAnsi="Arial" w:cs="Arial"/>
          <w:color w:val="000000"/>
        </w:rPr>
        <w:t xml:space="preserve"> amended Mental Capacity Act s4B </w:t>
      </w:r>
      <w:r w:rsidR="00975D62">
        <w:rPr>
          <w:rFonts w:ascii="Arial" w:hAnsi="Arial" w:cs="Arial"/>
          <w:color w:val="000000"/>
        </w:rPr>
        <w:t xml:space="preserve">will </w:t>
      </w:r>
      <w:r w:rsidR="007F5651" w:rsidRPr="000E721B">
        <w:rPr>
          <w:rFonts w:ascii="Arial" w:hAnsi="Arial" w:cs="Arial"/>
          <w:color w:val="000000"/>
        </w:rPr>
        <w:t xml:space="preserve">replace </w:t>
      </w:r>
      <w:proofErr w:type="spellStart"/>
      <w:r w:rsidRPr="000E721B">
        <w:rPr>
          <w:rFonts w:ascii="Arial" w:hAnsi="Arial" w:cs="Arial"/>
          <w:color w:val="000000"/>
        </w:rPr>
        <w:t>DoLS</w:t>
      </w:r>
      <w:proofErr w:type="spellEnd"/>
      <w:r w:rsidRPr="000E721B">
        <w:rPr>
          <w:rFonts w:ascii="Arial" w:hAnsi="Arial" w:cs="Arial"/>
          <w:color w:val="000000"/>
        </w:rPr>
        <w:t xml:space="preserve"> </w:t>
      </w:r>
      <w:r w:rsidR="007F5651" w:rsidRPr="000E721B">
        <w:rPr>
          <w:rFonts w:ascii="Arial" w:hAnsi="Arial" w:cs="Arial"/>
          <w:color w:val="000000"/>
        </w:rPr>
        <w:t>urgent authorisations</w:t>
      </w:r>
      <w:r w:rsidR="005763C8" w:rsidRPr="000E721B">
        <w:rPr>
          <w:rFonts w:ascii="Arial" w:hAnsi="Arial" w:cs="Arial"/>
          <w:color w:val="000000"/>
        </w:rPr>
        <w:t xml:space="preserve"> by providing that </w:t>
      </w:r>
      <w:r w:rsidRPr="000E721B">
        <w:rPr>
          <w:rFonts w:ascii="Arial" w:hAnsi="Arial" w:cs="Arial"/>
          <w:color w:val="000000"/>
        </w:rPr>
        <w:t>a patient can be deprived of their liberty to carry out life sustaining treatment or a vital act</w:t>
      </w:r>
      <w:r w:rsidR="005763C8" w:rsidRPr="000E721B">
        <w:rPr>
          <w:rFonts w:ascii="Arial" w:hAnsi="Arial" w:cs="Arial"/>
          <w:color w:val="000000"/>
        </w:rPr>
        <w:t xml:space="preserve">, </w:t>
      </w:r>
      <w:r w:rsidRPr="00975D62">
        <w:rPr>
          <w:rFonts w:ascii="Arial" w:hAnsi="Arial" w:cs="Arial"/>
          <w:color w:val="000000"/>
        </w:rPr>
        <w:t xml:space="preserve">while an LPS authorisation or a Court application is made, or in any case </w:t>
      </w:r>
      <w:r w:rsidR="005763C8" w:rsidRPr="000E721B">
        <w:rPr>
          <w:rFonts w:ascii="Arial" w:hAnsi="Arial" w:cs="Arial"/>
          <w:color w:val="000000"/>
        </w:rPr>
        <w:t xml:space="preserve">in </w:t>
      </w:r>
      <w:r w:rsidRPr="00975D62">
        <w:rPr>
          <w:rFonts w:ascii="Arial" w:hAnsi="Arial" w:cs="Arial"/>
          <w:color w:val="000000"/>
        </w:rPr>
        <w:t>specified “</w:t>
      </w:r>
      <w:r w:rsidR="005763C8" w:rsidRPr="000E721B">
        <w:rPr>
          <w:rFonts w:ascii="Arial" w:hAnsi="Arial" w:cs="Arial"/>
          <w:color w:val="000000"/>
        </w:rPr>
        <w:t>emergency</w:t>
      </w:r>
      <w:r w:rsidRPr="00975D62">
        <w:rPr>
          <w:rFonts w:ascii="Arial" w:hAnsi="Arial" w:cs="Arial"/>
          <w:color w:val="000000"/>
        </w:rPr>
        <w:t>”</w:t>
      </w:r>
      <w:r w:rsidR="005763C8" w:rsidRPr="000E721B">
        <w:rPr>
          <w:rFonts w:ascii="Arial" w:hAnsi="Arial" w:cs="Arial"/>
          <w:color w:val="000000"/>
        </w:rPr>
        <w:t xml:space="preserve"> circumstances</w:t>
      </w:r>
      <w:r w:rsidRPr="00975D62">
        <w:rPr>
          <w:rFonts w:ascii="Arial" w:hAnsi="Arial" w:cs="Arial"/>
          <w:color w:val="000000"/>
        </w:rPr>
        <w:t xml:space="preserve">.  (The way this relates to the </w:t>
      </w:r>
      <w:r w:rsidRPr="00975D62">
        <w:rPr>
          <w:rFonts w:ascii="Arial" w:hAnsi="Arial" w:cs="Arial"/>
          <w:i/>
          <w:color w:val="000000"/>
        </w:rPr>
        <w:t>Ferreira</w:t>
      </w:r>
      <w:r w:rsidRPr="00975D62">
        <w:rPr>
          <w:rFonts w:ascii="Arial" w:hAnsi="Arial" w:cs="Arial"/>
          <w:color w:val="000000"/>
        </w:rPr>
        <w:t xml:space="preserve"> judgment that life-saving medical treatment is generally not regarded as a </w:t>
      </w:r>
      <w:proofErr w:type="spellStart"/>
      <w:r w:rsidRPr="00975D62">
        <w:rPr>
          <w:rFonts w:ascii="Arial" w:hAnsi="Arial" w:cs="Arial"/>
          <w:color w:val="000000"/>
        </w:rPr>
        <w:t>DoL</w:t>
      </w:r>
      <w:proofErr w:type="spellEnd"/>
      <w:r w:rsidRPr="00975D62">
        <w:rPr>
          <w:rFonts w:ascii="Arial" w:hAnsi="Arial" w:cs="Arial"/>
          <w:color w:val="000000"/>
        </w:rPr>
        <w:t xml:space="preserve"> at all will need to be clarified in the Code of Practice)   </w:t>
      </w:r>
    </w:p>
    <w:p w14:paraId="40BB6425" w14:textId="74F83FE4" w:rsidR="007F5651" w:rsidRPr="009B6169" w:rsidRDefault="007F5651" w:rsidP="007F5651">
      <w:pPr>
        <w:numPr>
          <w:ilvl w:val="0"/>
          <w:numId w:val="4"/>
        </w:numPr>
        <w:autoSpaceDE w:val="0"/>
        <w:autoSpaceDN w:val="0"/>
        <w:adjustRightInd w:val="0"/>
        <w:spacing w:after="160" w:line="360" w:lineRule="auto"/>
        <w:contextualSpacing/>
        <w:rPr>
          <w:rFonts w:ascii="Arial" w:hAnsi="Arial" w:cs="Arial"/>
          <w:color w:val="000000"/>
        </w:rPr>
      </w:pPr>
      <w:r w:rsidRPr="009B6169">
        <w:rPr>
          <w:rFonts w:ascii="Arial" w:hAnsi="Arial" w:cs="Arial"/>
          <w:color w:val="000000"/>
        </w:rPr>
        <w:t>Option to extend the period</w:t>
      </w:r>
      <w:r w:rsidR="005763C8">
        <w:rPr>
          <w:rFonts w:ascii="Arial" w:hAnsi="Arial" w:cs="Arial"/>
          <w:color w:val="000000"/>
        </w:rPr>
        <w:t xml:space="preserve"> of </w:t>
      </w:r>
      <w:proofErr w:type="spellStart"/>
      <w:r w:rsidR="005763C8">
        <w:rPr>
          <w:rFonts w:ascii="Arial" w:hAnsi="Arial" w:cs="Arial"/>
          <w:color w:val="000000"/>
        </w:rPr>
        <w:t>DoL</w:t>
      </w:r>
      <w:proofErr w:type="spellEnd"/>
      <w:r w:rsidR="005763C8">
        <w:rPr>
          <w:rFonts w:ascii="Arial" w:hAnsi="Arial" w:cs="Arial"/>
          <w:color w:val="000000"/>
        </w:rPr>
        <w:t xml:space="preserve"> to be authorised </w:t>
      </w:r>
      <w:r w:rsidRPr="009B6169">
        <w:rPr>
          <w:rFonts w:ascii="Arial" w:hAnsi="Arial" w:cs="Arial"/>
          <w:color w:val="000000"/>
        </w:rPr>
        <w:t>for individuals with long term stable conditions from one year</w:t>
      </w:r>
      <w:r w:rsidR="005763C8">
        <w:rPr>
          <w:rFonts w:ascii="Arial" w:hAnsi="Arial" w:cs="Arial"/>
          <w:color w:val="000000"/>
        </w:rPr>
        <w:t xml:space="preserve"> (the maximum under </w:t>
      </w:r>
      <w:proofErr w:type="spellStart"/>
      <w:r w:rsidR="005763C8">
        <w:rPr>
          <w:rFonts w:ascii="Arial" w:hAnsi="Arial" w:cs="Arial"/>
          <w:color w:val="000000"/>
        </w:rPr>
        <w:t>DoLS</w:t>
      </w:r>
      <w:proofErr w:type="spellEnd"/>
      <w:r w:rsidR="005763C8">
        <w:rPr>
          <w:rFonts w:ascii="Arial" w:hAnsi="Arial" w:cs="Arial"/>
          <w:color w:val="000000"/>
        </w:rPr>
        <w:t>)</w:t>
      </w:r>
      <w:r w:rsidRPr="009B6169">
        <w:rPr>
          <w:rFonts w:ascii="Arial" w:hAnsi="Arial" w:cs="Arial"/>
          <w:color w:val="000000"/>
        </w:rPr>
        <w:t xml:space="preserve"> to up to three years</w:t>
      </w:r>
      <w:r w:rsidR="005763C8">
        <w:rPr>
          <w:rFonts w:ascii="Arial" w:hAnsi="Arial" w:cs="Arial"/>
          <w:color w:val="000000"/>
        </w:rPr>
        <w:t xml:space="preserve"> on the second renewal</w:t>
      </w:r>
    </w:p>
    <w:p w14:paraId="6FFDB4B5" w14:textId="77777777" w:rsidR="007F5651" w:rsidRPr="0049512C" w:rsidRDefault="007F5651" w:rsidP="007F5651">
      <w:pPr>
        <w:spacing w:line="360" w:lineRule="auto"/>
        <w:rPr>
          <w:rFonts w:ascii="Arial" w:hAnsi="Arial" w:cs="Arial"/>
        </w:rPr>
      </w:pPr>
    </w:p>
    <w:p w14:paraId="730A78B7" w14:textId="21E07F87" w:rsidR="007F5651" w:rsidRDefault="007F5651" w:rsidP="007F5651">
      <w:pPr>
        <w:spacing w:line="360" w:lineRule="auto"/>
        <w:rPr>
          <w:rFonts w:ascii="Arial" w:hAnsi="Arial" w:cs="Arial"/>
        </w:rPr>
      </w:pPr>
      <w:r w:rsidRPr="0049512C">
        <w:rPr>
          <w:rFonts w:ascii="Arial" w:hAnsi="Arial" w:cs="Arial"/>
        </w:rPr>
        <w:t>The policy intention behind the reforms is to promote the consideration of deprivation of liberty within mainstream care planning</w:t>
      </w:r>
      <w:r w:rsidR="00553CE3">
        <w:rPr>
          <w:rFonts w:ascii="Arial" w:hAnsi="Arial" w:cs="Arial"/>
        </w:rPr>
        <w:t>, making consideration of LPS part of everyday care</w:t>
      </w:r>
      <w:r w:rsidRPr="0049512C">
        <w:rPr>
          <w:rFonts w:ascii="Arial" w:hAnsi="Arial" w:cs="Arial"/>
        </w:rPr>
        <w:t>. It does this by giving NHS</w:t>
      </w:r>
      <w:r w:rsidR="00F41CBA">
        <w:rPr>
          <w:rFonts w:ascii="Arial" w:hAnsi="Arial" w:cs="Arial"/>
        </w:rPr>
        <w:t xml:space="preserve"> </w:t>
      </w:r>
      <w:r w:rsidRPr="0049512C">
        <w:rPr>
          <w:rFonts w:ascii="Arial" w:hAnsi="Arial" w:cs="Arial"/>
        </w:rPr>
        <w:t>Trusts and CCG</w:t>
      </w:r>
      <w:r w:rsidR="0089433E">
        <w:rPr>
          <w:rFonts w:ascii="Arial" w:hAnsi="Arial" w:cs="Arial"/>
        </w:rPr>
        <w:t>/ICS</w:t>
      </w:r>
      <w:r w:rsidRPr="0049512C">
        <w:rPr>
          <w:rFonts w:ascii="Arial" w:hAnsi="Arial" w:cs="Arial"/>
        </w:rPr>
        <w:t>’s, in addition to local authorities, a specified responsibility in authorisations.</w:t>
      </w:r>
    </w:p>
    <w:p w14:paraId="73C5F326" w14:textId="77777777" w:rsidR="007F5651" w:rsidRPr="0049512C" w:rsidRDefault="007F5651" w:rsidP="007F5651">
      <w:pPr>
        <w:spacing w:line="360" w:lineRule="auto"/>
        <w:rPr>
          <w:rFonts w:ascii="Arial" w:hAnsi="Arial" w:cs="Arial"/>
        </w:rPr>
      </w:pPr>
      <w:r w:rsidRPr="0049512C">
        <w:rPr>
          <w:rFonts w:ascii="Arial" w:hAnsi="Arial" w:cs="Arial"/>
        </w:rPr>
        <w:t xml:space="preserve">Under the LPS, there is one responsible body for each authorisation that is granted. </w:t>
      </w:r>
      <w:proofErr w:type="gramStart"/>
      <w:r w:rsidRPr="0049512C">
        <w:rPr>
          <w:rFonts w:ascii="Arial" w:hAnsi="Arial" w:cs="Arial"/>
        </w:rPr>
        <w:t>In order to</w:t>
      </w:r>
      <w:proofErr w:type="gramEnd"/>
      <w:r w:rsidRPr="0049512C">
        <w:rPr>
          <w:rFonts w:ascii="Arial" w:hAnsi="Arial" w:cs="Arial"/>
        </w:rPr>
        <w:t xml:space="preserve"> identify the responsible body in any given case, the legislation creates the following responsibilities: </w:t>
      </w:r>
    </w:p>
    <w:p w14:paraId="0C0DDD96" w14:textId="77777777" w:rsidR="007F5651" w:rsidRPr="0049512C" w:rsidRDefault="007F5651" w:rsidP="007F5651">
      <w:pPr>
        <w:pStyle w:val="ListParagraph"/>
        <w:numPr>
          <w:ilvl w:val="0"/>
          <w:numId w:val="2"/>
        </w:numPr>
        <w:spacing w:line="360" w:lineRule="auto"/>
        <w:rPr>
          <w:rFonts w:ascii="Arial" w:hAnsi="Arial" w:cs="Arial"/>
          <w:sz w:val="24"/>
          <w:szCs w:val="24"/>
        </w:rPr>
      </w:pPr>
      <w:r w:rsidRPr="0049512C">
        <w:rPr>
          <w:rFonts w:ascii="Arial" w:hAnsi="Arial" w:cs="Arial"/>
          <w:sz w:val="24"/>
          <w:szCs w:val="24"/>
        </w:rPr>
        <w:t xml:space="preserve">If the arrangements are carried out mainly in an NHS hospital, the responsible body is the “hospital manager”, which would in most cases be the NHS Trust that manages the hospital. </w:t>
      </w:r>
    </w:p>
    <w:p w14:paraId="47790555" w14:textId="5E982D8B" w:rsidR="007F5651" w:rsidRPr="0049512C" w:rsidRDefault="007F5651" w:rsidP="007F5651">
      <w:pPr>
        <w:pStyle w:val="ListParagraph"/>
        <w:numPr>
          <w:ilvl w:val="0"/>
          <w:numId w:val="2"/>
        </w:numPr>
        <w:spacing w:line="360" w:lineRule="auto"/>
        <w:rPr>
          <w:rFonts w:ascii="Arial" w:hAnsi="Arial" w:cs="Arial"/>
          <w:sz w:val="24"/>
          <w:szCs w:val="24"/>
        </w:rPr>
      </w:pPr>
      <w:r w:rsidRPr="0049512C">
        <w:rPr>
          <w:rFonts w:ascii="Arial" w:hAnsi="Arial" w:cs="Arial"/>
          <w:sz w:val="24"/>
          <w:szCs w:val="24"/>
        </w:rPr>
        <w:t>If the arrangements are</w:t>
      </w:r>
      <w:r w:rsidRPr="0049512C">
        <w:rPr>
          <w:rFonts w:ascii="Arial" w:hAnsi="Arial" w:cs="Arial"/>
          <w:i/>
          <w:sz w:val="24"/>
          <w:szCs w:val="24"/>
        </w:rPr>
        <w:t xml:space="preserve"> </w:t>
      </w:r>
      <w:r w:rsidRPr="0049512C">
        <w:rPr>
          <w:rFonts w:ascii="Arial" w:hAnsi="Arial" w:cs="Arial"/>
          <w:sz w:val="24"/>
          <w:szCs w:val="24"/>
        </w:rPr>
        <w:t>carried out through the provision of</w:t>
      </w:r>
      <w:r w:rsidRPr="0049512C">
        <w:rPr>
          <w:rFonts w:ascii="Arial" w:hAnsi="Arial" w:cs="Arial"/>
          <w:i/>
          <w:sz w:val="24"/>
          <w:szCs w:val="24"/>
        </w:rPr>
        <w:t xml:space="preserve"> </w:t>
      </w:r>
      <w:r w:rsidRPr="0049512C">
        <w:rPr>
          <w:rFonts w:ascii="Arial" w:hAnsi="Arial" w:cs="Arial"/>
          <w:sz w:val="24"/>
          <w:szCs w:val="24"/>
        </w:rPr>
        <w:t xml:space="preserve">NHS Continuing Healthcare (CHC) </w:t>
      </w:r>
      <w:r w:rsidR="0067364D">
        <w:rPr>
          <w:rFonts w:ascii="Arial" w:hAnsi="Arial" w:cs="Arial"/>
          <w:sz w:val="24"/>
          <w:szCs w:val="24"/>
        </w:rPr>
        <w:t>for adult patients, t</w:t>
      </w:r>
      <w:r w:rsidRPr="0049512C">
        <w:rPr>
          <w:rFonts w:ascii="Arial" w:hAnsi="Arial" w:cs="Arial"/>
          <w:sz w:val="24"/>
          <w:szCs w:val="24"/>
        </w:rPr>
        <w:t>he responsible body is the relevant CCG</w:t>
      </w:r>
      <w:r w:rsidR="0089433E">
        <w:rPr>
          <w:rFonts w:ascii="Arial" w:hAnsi="Arial" w:cs="Arial"/>
          <w:sz w:val="24"/>
          <w:szCs w:val="24"/>
        </w:rPr>
        <w:t>/ICS</w:t>
      </w:r>
      <w:r w:rsidRPr="0049512C">
        <w:rPr>
          <w:rFonts w:ascii="Arial" w:hAnsi="Arial" w:cs="Arial"/>
          <w:sz w:val="24"/>
          <w:szCs w:val="24"/>
        </w:rPr>
        <w:t xml:space="preserve">.  </w:t>
      </w:r>
    </w:p>
    <w:p w14:paraId="08CE6852" w14:textId="57802483" w:rsidR="007F5651" w:rsidRPr="0049512C" w:rsidRDefault="000D4479" w:rsidP="007F5651">
      <w:pPr>
        <w:pStyle w:val="ListParagraph"/>
        <w:numPr>
          <w:ilvl w:val="0"/>
          <w:numId w:val="2"/>
        </w:numPr>
        <w:spacing w:line="360" w:lineRule="auto"/>
        <w:rPr>
          <w:rFonts w:ascii="Arial" w:hAnsi="Arial" w:cs="Arial"/>
          <w:sz w:val="24"/>
          <w:szCs w:val="24"/>
        </w:rPr>
      </w:pPr>
      <w:r>
        <w:rPr>
          <w:rFonts w:ascii="Arial" w:hAnsi="Arial" w:cs="Arial"/>
          <w:sz w:val="24"/>
          <w:szCs w:val="24"/>
        </w:rPr>
        <w:t>In all other cases</w:t>
      </w:r>
      <w:r w:rsidR="007F5651" w:rsidRPr="0049512C">
        <w:rPr>
          <w:rFonts w:ascii="Arial" w:hAnsi="Arial" w:cs="Arial"/>
          <w:sz w:val="24"/>
          <w:szCs w:val="24"/>
        </w:rPr>
        <w:t xml:space="preserve"> </w:t>
      </w:r>
      <w:r w:rsidR="0067364D">
        <w:rPr>
          <w:rFonts w:ascii="Arial" w:hAnsi="Arial" w:cs="Arial"/>
          <w:sz w:val="24"/>
          <w:szCs w:val="24"/>
        </w:rPr>
        <w:t xml:space="preserve">(including in patient care in an independent sector hospital) </w:t>
      </w:r>
      <w:r w:rsidR="007F5651" w:rsidRPr="0049512C">
        <w:rPr>
          <w:rFonts w:ascii="Arial" w:hAnsi="Arial" w:cs="Arial"/>
          <w:sz w:val="24"/>
          <w:szCs w:val="24"/>
        </w:rPr>
        <w:t>the responsible body is the “local authority” (in most cases this will be the authority that is meeting the person’s needs or in whose area the person is ordinarily resident).</w:t>
      </w:r>
    </w:p>
    <w:p w14:paraId="7184CE7A" w14:textId="656EE7B4" w:rsidR="007F5651" w:rsidRPr="0049512C" w:rsidRDefault="007F5651" w:rsidP="007F5651">
      <w:pPr>
        <w:spacing w:line="360" w:lineRule="auto"/>
        <w:rPr>
          <w:rFonts w:ascii="Arial" w:eastAsia="Times New Roman" w:hAnsi="Arial" w:cs="Arial"/>
          <w:color w:val="000000"/>
        </w:rPr>
      </w:pPr>
      <w:r w:rsidRPr="0049512C">
        <w:rPr>
          <w:rFonts w:ascii="Arial" w:eastAsia="Times New Roman" w:hAnsi="Arial" w:cs="Arial"/>
          <w:color w:val="000000"/>
        </w:rPr>
        <w:t>The regulation</w:t>
      </w:r>
      <w:r w:rsidRPr="0049512C">
        <w:rPr>
          <w:rFonts w:ascii="Arial" w:eastAsia="Times New Roman" w:hAnsi="Arial" w:cs="Arial"/>
          <w:b/>
          <w:color w:val="000000"/>
        </w:rPr>
        <w:t xml:space="preserve"> </w:t>
      </w:r>
      <w:r w:rsidRPr="0049512C">
        <w:rPr>
          <w:rFonts w:ascii="Arial" w:eastAsia="Times New Roman" w:hAnsi="Arial" w:cs="Arial"/>
          <w:color w:val="000000"/>
        </w:rPr>
        <w:t>of the CCG</w:t>
      </w:r>
      <w:r w:rsidR="0089433E">
        <w:rPr>
          <w:rFonts w:ascii="Arial" w:eastAsia="Times New Roman" w:hAnsi="Arial" w:cs="Arial"/>
          <w:color w:val="000000"/>
        </w:rPr>
        <w:t>/ICS</w:t>
      </w:r>
      <w:r w:rsidRPr="0049512C">
        <w:rPr>
          <w:rFonts w:ascii="Arial" w:eastAsia="Times New Roman" w:hAnsi="Arial" w:cs="Arial"/>
          <w:color w:val="000000"/>
        </w:rPr>
        <w:t xml:space="preserve"> role as a responsible body is likely to be undertaken by the C</w:t>
      </w:r>
      <w:r w:rsidR="00F41CBA">
        <w:rPr>
          <w:rFonts w:ascii="Arial" w:eastAsia="Times New Roman" w:hAnsi="Arial" w:cs="Arial"/>
          <w:color w:val="000000"/>
        </w:rPr>
        <w:t xml:space="preserve">are </w:t>
      </w:r>
      <w:r w:rsidRPr="0049512C">
        <w:rPr>
          <w:rFonts w:ascii="Arial" w:eastAsia="Times New Roman" w:hAnsi="Arial" w:cs="Arial"/>
          <w:color w:val="000000"/>
        </w:rPr>
        <w:t>Q</w:t>
      </w:r>
      <w:r w:rsidR="00F41CBA">
        <w:rPr>
          <w:rFonts w:ascii="Arial" w:eastAsia="Times New Roman" w:hAnsi="Arial" w:cs="Arial"/>
          <w:color w:val="000000"/>
        </w:rPr>
        <w:t xml:space="preserve">uality </w:t>
      </w:r>
      <w:r w:rsidRPr="0049512C">
        <w:rPr>
          <w:rFonts w:ascii="Arial" w:eastAsia="Times New Roman" w:hAnsi="Arial" w:cs="Arial"/>
          <w:color w:val="000000"/>
        </w:rPr>
        <w:t>C</w:t>
      </w:r>
      <w:r w:rsidR="00F41CBA">
        <w:rPr>
          <w:rFonts w:ascii="Arial" w:eastAsia="Times New Roman" w:hAnsi="Arial" w:cs="Arial"/>
          <w:color w:val="000000"/>
        </w:rPr>
        <w:t>ommission (CQC)</w:t>
      </w:r>
      <w:r w:rsidRPr="0049512C">
        <w:rPr>
          <w:rFonts w:ascii="Arial" w:eastAsia="Times New Roman" w:hAnsi="Arial" w:cs="Arial"/>
          <w:color w:val="000000"/>
        </w:rPr>
        <w:t>. This will mean that CQC may inspect CCG</w:t>
      </w:r>
      <w:r w:rsidR="0089433E">
        <w:rPr>
          <w:rFonts w:ascii="Arial" w:eastAsia="Times New Roman" w:hAnsi="Arial" w:cs="Arial"/>
          <w:color w:val="000000"/>
        </w:rPr>
        <w:t>/</w:t>
      </w:r>
      <w:proofErr w:type="gramStart"/>
      <w:r w:rsidR="0089433E">
        <w:rPr>
          <w:rFonts w:ascii="Arial" w:eastAsia="Times New Roman" w:hAnsi="Arial" w:cs="Arial"/>
          <w:color w:val="000000"/>
        </w:rPr>
        <w:t>ICS’</w:t>
      </w:r>
      <w:r w:rsidRPr="0049512C">
        <w:rPr>
          <w:rFonts w:ascii="Arial" w:eastAsia="Times New Roman" w:hAnsi="Arial" w:cs="Arial"/>
          <w:color w:val="000000"/>
        </w:rPr>
        <w:t>s</w:t>
      </w:r>
      <w:proofErr w:type="gramEnd"/>
      <w:r w:rsidRPr="0049512C">
        <w:rPr>
          <w:rFonts w:ascii="Arial" w:eastAsia="Times New Roman" w:hAnsi="Arial" w:cs="Arial"/>
          <w:color w:val="000000"/>
        </w:rPr>
        <w:t xml:space="preserve"> for this activity, although details of precisely how the LPS will be regulated are still to be confirmed.</w:t>
      </w:r>
    </w:p>
    <w:p w14:paraId="0EF22379" w14:textId="58D0E063" w:rsidR="007F5651" w:rsidRDefault="007F5651" w:rsidP="007F5651">
      <w:pPr>
        <w:spacing w:line="360" w:lineRule="auto"/>
        <w:rPr>
          <w:rFonts w:ascii="Arial" w:eastAsia="Times New Roman" w:hAnsi="Arial" w:cs="Arial"/>
          <w:color w:val="000000"/>
        </w:rPr>
      </w:pPr>
    </w:p>
    <w:p w14:paraId="69C40751" w14:textId="77777777" w:rsidR="005011D6" w:rsidRDefault="005011D6" w:rsidP="007F5651">
      <w:pPr>
        <w:spacing w:line="360" w:lineRule="auto"/>
        <w:rPr>
          <w:rFonts w:ascii="Arial" w:eastAsia="Times New Roman" w:hAnsi="Arial" w:cs="Arial"/>
          <w:b/>
          <w:color w:val="0070C0"/>
          <w:sz w:val="36"/>
          <w:szCs w:val="36"/>
        </w:rPr>
      </w:pPr>
    </w:p>
    <w:p w14:paraId="43C81CE3" w14:textId="77777777" w:rsidR="005011D6" w:rsidRDefault="005011D6" w:rsidP="007F5651">
      <w:pPr>
        <w:spacing w:line="360" w:lineRule="auto"/>
        <w:rPr>
          <w:rFonts w:ascii="Arial" w:eastAsia="Times New Roman" w:hAnsi="Arial" w:cs="Arial"/>
          <w:b/>
          <w:color w:val="0070C0"/>
          <w:sz w:val="36"/>
          <w:szCs w:val="36"/>
        </w:rPr>
      </w:pPr>
    </w:p>
    <w:p w14:paraId="5F3DB845" w14:textId="77777777" w:rsidR="005011D6" w:rsidRDefault="005011D6" w:rsidP="007F5651">
      <w:pPr>
        <w:spacing w:line="360" w:lineRule="auto"/>
        <w:rPr>
          <w:rFonts w:ascii="Arial" w:eastAsia="Times New Roman" w:hAnsi="Arial" w:cs="Arial"/>
          <w:b/>
          <w:color w:val="0070C0"/>
          <w:sz w:val="36"/>
          <w:szCs w:val="36"/>
        </w:rPr>
      </w:pPr>
    </w:p>
    <w:p w14:paraId="564CB4B1" w14:textId="77777777" w:rsidR="005011D6" w:rsidRDefault="005011D6" w:rsidP="007F5651">
      <w:pPr>
        <w:spacing w:line="360" w:lineRule="auto"/>
        <w:rPr>
          <w:rFonts w:ascii="Arial" w:eastAsia="Times New Roman" w:hAnsi="Arial" w:cs="Arial"/>
          <w:b/>
          <w:color w:val="0070C0"/>
          <w:sz w:val="36"/>
          <w:szCs w:val="36"/>
        </w:rPr>
      </w:pPr>
    </w:p>
    <w:p w14:paraId="7A4783E3" w14:textId="78BF19C6" w:rsidR="007F5651" w:rsidRPr="007F5651" w:rsidRDefault="007F5651" w:rsidP="007F5651">
      <w:pPr>
        <w:spacing w:line="360" w:lineRule="auto"/>
        <w:rPr>
          <w:rFonts w:ascii="Arial" w:eastAsia="Times New Roman" w:hAnsi="Arial" w:cs="Arial"/>
          <w:b/>
          <w:color w:val="0070C0"/>
          <w:sz w:val="36"/>
          <w:szCs w:val="36"/>
        </w:rPr>
      </w:pPr>
      <w:r w:rsidRPr="007F5651">
        <w:rPr>
          <w:rFonts w:ascii="Arial" w:eastAsia="Times New Roman" w:hAnsi="Arial" w:cs="Arial"/>
          <w:b/>
          <w:color w:val="0070C0"/>
          <w:sz w:val="36"/>
          <w:szCs w:val="36"/>
        </w:rPr>
        <w:lastRenderedPageBreak/>
        <w:t>Implications for the NHS of LPS</w:t>
      </w:r>
    </w:p>
    <w:p w14:paraId="249B9EBE" w14:textId="2B6A970C" w:rsidR="007F5651" w:rsidRPr="0049512C" w:rsidRDefault="007F5651" w:rsidP="007F5651">
      <w:pPr>
        <w:spacing w:line="360" w:lineRule="auto"/>
        <w:rPr>
          <w:rFonts w:ascii="Arial" w:eastAsia="Times New Roman" w:hAnsi="Arial" w:cs="Arial"/>
          <w:color w:val="000000"/>
        </w:rPr>
      </w:pPr>
      <w:r w:rsidRPr="0049512C">
        <w:rPr>
          <w:rFonts w:ascii="Arial" w:eastAsia="Times New Roman" w:hAnsi="Arial" w:cs="Arial"/>
          <w:color w:val="000000"/>
        </w:rPr>
        <w:t xml:space="preserve">Notably the current supervisory body of the Local </w:t>
      </w:r>
      <w:r w:rsidR="000E721B">
        <w:rPr>
          <w:rFonts w:ascii="Arial" w:eastAsia="Times New Roman" w:hAnsi="Arial" w:cs="Arial"/>
          <w:color w:val="000000"/>
        </w:rPr>
        <w:t>A</w:t>
      </w:r>
      <w:r w:rsidRPr="0049512C">
        <w:rPr>
          <w:rFonts w:ascii="Arial" w:eastAsia="Times New Roman" w:hAnsi="Arial" w:cs="Arial"/>
          <w:color w:val="000000"/>
        </w:rPr>
        <w:t xml:space="preserve">uthority will shift to the </w:t>
      </w:r>
      <w:r w:rsidR="000E721B">
        <w:rPr>
          <w:rFonts w:ascii="Arial" w:eastAsia="Times New Roman" w:hAnsi="Arial" w:cs="Arial"/>
          <w:color w:val="000000"/>
        </w:rPr>
        <w:t>hospital Trust</w:t>
      </w:r>
      <w:r w:rsidR="000E721B" w:rsidRPr="0049512C">
        <w:rPr>
          <w:rFonts w:ascii="Arial" w:eastAsia="Times New Roman" w:hAnsi="Arial" w:cs="Arial"/>
          <w:color w:val="000000"/>
        </w:rPr>
        <w:t xml:space="preserve"> </w:t>
      </w:r>
      <w:r w:rsidRPr="0049512C">
        <w:rPr>
          <w:rFonts w:ascii="Arial" w:eastAsia="Times New Roman" w:hAnsi="Arial" w:cs="Arial"/>
          <w:color w:val="000000"/>
        </w:rPr>
        <w:t xml:space="preserve">in those cases where someone is in </w:t>
      </w:r>
      <w:r w:rsidR="000E721B">
        <w:rPr>
          <w:rFonts w:ascii="Arial" w:eastAsia="Times New Roman" w:hAnsi="Arial" w:cs="Arial"/>
          <w:color w:val="000000"/>
        </w:rPr>
        <w:t xml:space="preserve">an NHS </w:t>
      </w:r>
      <w:r w:rsidRPr="0049512C">
        <w:rPr>
          <w:rFonts w:ascii="Arial" w:eastAsia="Times New Roman" w:hAnsi="Arial" w:cs="Arial"/>
          <w:color w:val="000000"/>
        </w:rPr>
        <w:t>hospital</w:t>
      </w:r>
      <w:r w:rsidRPr="0049512C">
        <w:rPr>
          <w:rStyle w:val="FootnoteReference"/>
          <w:rFonts w:ascii="Arial" w:eastAsia="Times New Roman" w:hAnsi="Arial" w:cs="Arial"/>
          <w:color w:val="000000"/>
        </w:rPr>
        <w:footnoteReference w:id="2"/>
      </w:r>
      <w:r w:rsidRPr="0049512C">
        <w:rPr>
          <w:rFonts w:ascii="Arial" w:eastAsia="Times New Roman" w:hAnsi="Arial" w:cs="Arial"/>
          <w:color w:val="000000"/>
        </w:rPr>
        <w:t xml:space="preserve"> or </w:t>
      </w:r>
      <w:r w:rsidR="000E721B">
        <w:rPr>
          <w:rFonts w:ascii="Arial" w:eastAsia="Times New Roman" w:hAnsi="Arial" w:cs="Arial"/>
          <w:color w:val="000000"/>
        </w:rPr>
        <w:t xml:space="preserve">to the CCG / ICS </w:t>
      </w:r>
      <w:r w:rsidRPr="0049512C">
        <w:rPr>
          <w:rFonts w:ascii="Arial" w:eastAsia="Times New Roman" w:hAnsi="Arial" w:cs="Arial"/>
          <w:color w:val="000000"/>
        </w:rPr>
        <w:t>where their care is funded by Continuing Health Care (CHC).</w:t>
      </w:r>
    </w:p>
    <w:p w14:paraId="2FECC0D5" w14:textId="40C2807E" w:rsidR="00EF5F51" w:rsidRDefault="007F5651" w:rsidP="007F5651">
      <w:pPr>
        <w:spacing w:line="360" w:lineRule="auto"/>
        <w:rPr>
          <w:rFonts w:ascii="Arial" w:eastAsia="Times New Roman" w:hAnsi="Arial" w:cs="Arial"/>
          <w:color w:val="000000"/>
        </w:rPr>
      </w:pPr>
      <w:r w:rsidRPr="0049512C">
        <w:rPr>
          <w:rFonts w:ascii="Arial" w:eastAsia="Times New Roman" w:hAnsi="Arial" w:cs="Arial"/>
          <w:color w:val="000000"/>
        </w:rPr>
        <w:t xml:space="preserve">The other significant shift is the lowering of the age at which the safeguards apply. The case of </w:t>
      </w:r>
      <w:r>
        <w:rPr>
          <w:rFonts w:ascii="Arial" w:eastAsia="Times New Roman" w:hAnsi="Arial" w:cs="Arial"/>
          <w:color w:val="000000"/>
        </w:rPr>
        <w:t>D (A Child) 2019 UKSC 42</w:t>
      </w:r>
      <w:r>
        <w:rPr>
          <w:rStyle w:val="FootnoteReference"/>
          <w:rFonts w:ascii="Arial" w:eastAsia="Times New Roman" w:hAnsi="Arial" w:cs="Arial"/>
          <w:color w:val="000000"/>
        </w:rPr>
        <w:footnoteReference w:id="3"/>
      </w:r>
      <w:r w:rsidRPr="0049512C">
        <w:rPr>
          <w:rFonts w:ascii="Arial" w:eastAsia="Times New Roman" w:hAnsi="Arial" w:cs="Arial"/>
          <w:color w:val="000000"/>
        </w:rPr>
        <w:t xml:space="preserve"> has confirmed that </w:t>
      </w:r>
      <w:r w:rsidR="000E721B">
        <w:rPr>
          <w:rFonts w:ascii="Arial" w:eastAsia="Times New Roman" w:hAnsi="Arial" w:cs="Arial"/>
          <w:color w:val="000000"/>
        </w:rPr>
        <w:t xml:space="preserve">if a </w:t>
      </w:r>
      <w:r w:rsidRPr="0049512C">
        <w:rPr>
          <w:rFonts w:ascii="Arial" w:eastAsia="Times New Roman" w:hAnsi="Arial" w:cs="Arial"/>
          <w:color w:val="000000"/>
        </w:rPr>
        <w:t xml:space="preserve">16 </w:t>
      </w:r>
      <w:r w:rsidR="000E721B">
        <w:rPr>
          <w:rFonts w:ascii="Arial" w:eastAsia="Times New Roman" w:hAnsi="Arial" w:cs="Arial"/>
          <w:color w:val="000000"/>
        </w:rPr>
        <w:t xml:space="preserve">or </w:t>
      </w:r>
      <w:r w:rsidR="00F41CBA" w:rsidRPr="0049512C">
        <w:rPr>
          <w:rFonts w:ascii="Arial" w:eastAsia="Times New Roman" w:hAnsi="Arial" w:cs="Arial"/>
          <w:color w:val="000000"/>
        </w:rPr>
        <w:t>17-year-old</w:t>
      </w:r>
      <w:r w:rsidR="000E721B">
        <w:rPr>
          <w:rFonts w:ascii="Arial" w:eastAsia="Times New Roman" w:hAnsi="Arial" w:cs="Arial"/>
          <w:color w:val="000000"/>
        </w:rPr>
        <w:t xml:space="preserve"> is deprived</w:t>
      </w:r>
      <w:r w:rsidRPr="0049512C">
        <w:rPr>
          <w:rFonts w:ascii="Arial" w:eastAsia="Times New Roman" w:hAnsi="Arial" w:cs="Arial"/>
          <w:color w:val="000000"/>
        </w:rPr>
        <w:t xml:space="preserve"> of their liberty </w:t>
      </w:r>
      <w:r w:rsidR="000E721B">
        <w:rPr>
          <w:rFonts w:ascii="Arial" w:eastAsia="Times New Roman" w:hAnsi="Arial" w:cs="Arial"/>
          <w:color w:val="000000"/>
        </w:rPr>
        <w:t>it is not sufficient to rely on the consent of someone with parental responsibility</w:t>
      </w:r>
      <w:r w:rsidRPr="0049512C">
        <w:rPr>
          <w:rFonts w:ascii="Arial" w:eastAsia="Times New Roman" w:hAnsi="Arial" w:cs="Arial"/>
          <w:color w:val="000000"/>
        </w:rPr>
        <w:t xml:space="preserve">. </w:t>
      </w:r>
      <w:r>
        <w:rPr>
          <w:rFonts w:ascii="Arial" w:eastAsia="Times New Roman" w:hAnsi="Arial" w:cs="Arial"/>
          <w:color w:val="000000"/>
        </w:rPr>
        <w:t xml:space="preserve">It is important to note that the case clarifies that </w:t>
      </w:r>
      <w:proofErr w:type="gramStart"/>
      <w:r>
        <w:rPr>
          <w:rFonts w:ascii="Arial" w:eastAsia="Times New Roman" w:hAnsi="Arial" w:cs="Arial"/>
          <w:color w:val="000000"/>
        </w:rPr>
        <w:t>in order to</w:t>
      </w:r>
      <w:proofErr w:type="gramEnd"/>
      <w:r>
        <w:rPr>
          <w:rFonts w:ascii="Arial" w:eastAsia="Times New Roman" w:hAnsi="Arial" w:cs="Arial"/>
          <w:color w:val="000000"/>
        </w:rPr>
        <w:t xml:space="preserve"> deprive </w:t>
      </w:r>
      <w:r w:rsidR="000E721B">
        <w:rPr>
          <w:rFonts w:ascii="Arial" w:eastAsia="Times New Roman" w:hAnsi="Arial" w:cs="Arial"/>
          <w:color w:val="000000"/>
        </w:rPr>
        <w:t xml:space="preserve">of liberty </w:t>
      </w:r>
      <w:r>
        <w:rPr>
          <w:rFonts w:ascii="Arial" w:eastAsia="Times New Roman" w:hAnsi="Arial" w:cs="Arial"/>
          <w:color w:val="000000"/>
        </w:rPr>
        <w:t xml:space="preserve">someone aged 16-17, an application </w:t>
      </w:r>
      <w:r w:rsidR="00511972">
        <w:rPr>
          <w:rFonts w:ascii="Arial" w:eastAsia="Times New Roman" w:hAnsi="Arial" w:cs="Arial"/>
          <w:color w:val="000000"/>
        </w:rPr>
        <w:t>to the Court of Protection</w:t>
      </w:r>
      <w:r w:rsidR="00D31EBB">
        <w:rPr>
          <w:rFonts w:ascii="Arial" w:eastAsia="Times New Roman" w:hAnsi="Arial" w:cs="Arial"/>
          <w:color w:val="000000"/>
        </w:rPr>
        <w:t xml:space="preserve"> </w:t>
      </w:r>
      <w:r>
        <w:rPr>
          <w:rFonts w:ascii="Arial" w:eastAsia="Times New Roman" w:hAnsi="Arial" w:cs="Arial"/>
          <w:color w:val="000000"/>
        </w:rPr>
        <w:t xml:space="preserve">is </w:t>
      </w:r>
      <w:r w:rsidRPr="00E007CC">
        <w:rPr>
          <w:rFonts w:ascii="Arial" w:eastAsia="Times New Roman" w:hAnsi="Arial" w:cs="Arial"/>
          <w:b/>
          <w:i/>
          <w:color w:val="000000"/>
        </w:rPr>
        <w:t>currently</w:t>
      </w:r>
      <w:r>
        <w:rPr>
          <w:rFonts w:ascii="Arial" w:eastAsia="Times New Roman" w:hAnsi="Arial" w:cs="Arial"/>
          <w:color w:val="000000"/>
        </w:rPr>
        <w:t xml:space="preserve"> required. Organisations should not wait until the implementation of LPS before acting on this</w:t>
      </w:r>
      <w:r w:rsidR="000E721B">
        <w:rPr>
          <w:rStyle w:val="FootnoteReference"/>
          <w:rFonts w:ascii="Arial" w:eastAsia="Times New Roman" w:hAnsi="Arial" w:cs="Arial"/>
          <w:color w:val="000000"/>
        </w:rPr>
        <w:footnoteReference w:id="4"/>
      </w:r>
      <w:r>
        <w:rPr>
          <w:rFonts w:ascii="Arial" w:eastAsia="Times New Roman" w:hAnsi="Arial" w:cs="Arial"/>
          <w:color w:val="000000"/>
        </w:rPr>
        <w:t xml:space="preserve">. </w:t>
      </w:r>
    </w:p>
    <w:p w14:paraId="01259B7F" w14:textId="0965AE62" w:rsidR="007F5651" w:rsidRPr="00D31EBB" w:rsidRDefault="00FF534D" w:rsidP="007F5651">
      <w:pPr>
        <w:spacing w:line="360" w:lineRule="auto"/>
        <w:rPr>
          <w:rFonts w:ascii="Arial" w:eastAsia="Times New Roman" w:hAnsi="Arial" w:cs="Arial"/>
        </w:rPr>
      </w:pPr>
      <w:r w:rsidRPr="00D31EBB">
        <w:rPr>
          <w:rFonts w:ascii="Arial" w:eastAsia="Times New Roman" w:hAnsi="Arial" w:cs="Arial"/>
        </w:rPr>
        <w:t xml:space="preserve">Whist </w:t>
      </w:r>
      <w:r w:rsidR="00EF5F51" w:rsidRPr="00D31EBB">
        <w:rPr>
          <w:rFonts w:ascii="Arial" w:eastAsia="Times New Roman" w:hAnsi="Arial" w:cs="Arial"/>
        </w:rPr>
        <w:t xml:space="preserve">a community LPS </w:t>
      </w:r>
      <w:r w:rsidRPr="00D31EBB">
        <w:rPr>
          <w:rFonts w:ascii="Arial" w:eastAsia="Times New Roman" w:hAnsi="Arial" w:cs="Arial"/>
        </w:rPr>
        <w:t xml:space="preserve">authorisation </w:t>
      </w:r>
      <w:r w:rsidR="00EF5F51" w:rsidRPr="00D31EBB">
        <w:rPr>
          <w:rFonts w:ascii="Arial" w:eastAsia="Times New Roman" w:hAnsi="Arial" w:cs="Arial"/>
        </w:rPr>
        <w:t>will likely</w:t>
      </w:r>
      <w:r w:rsidRPr="00D31EBB">
        <w:rPr>
          <w:rFonts w:ascii="Arial" w:eastAsia="Times New Roman" w:hAnsi="Arial" w:cs="Arial"/>
        </w:rPr>
        <w:t xml:space="preserve"> form part of the LA’s responsibility, health care services around the </w:t>
      </w:r>
      <w:r w:rsidR="002A47AC">
        <w:rPr>
          <w:rFonts w:ascii="Arial" w:eastAsia="Times New Roman" w:hAnsi="Arial" w:cs="Arial"/>
        </w:rPr>
        <w:t xml:space="preserve">person </w:t>
      </w:r>
      <w:r w:rsidR="00210DE0" w:rsidRPr="00D31EBB">
        <w:rPr>
          <w:rFonts w:ascii="Arial" w:eastAsia="Times New Roman" w:hAnsi="Arial" w:cs="Arial"/>
        </w:rPr>
        <w:t>may</w:t>
      </w:r>
      <w:r w:rsidRPr="00D31EBB">
        <w:rPr>
          <w:rFonts w:ascii="Arial" w:eastAsia="Times New Roman" w:hAnsi="Arial" w:cs="Arial"/>
        </w:rPr>
        <w:t xml:space="preserve"> be engaged in </w:t>
      </w:r>
      <w:r w:rsidR="00210DE0" w:rsidRPr="00D31EBB">
        <w:rPr>
          <w:rFonts w:ascii="Arial" w:eastAsia="Times New Roman" w:hAnsi="Arial" w:cs="Arial"/>
        </w:rPr>
        <w:t xml:space="preserve">assessments, </w:t>
      </w:r>
      <w:r w:rsidRPr="00D31EBB">
        <w:rPr>
          <w:rFonts w:ascii="Arial" w:eastAsia="Times New Roman" w:hAnsi="Arial" w:cs="Arial"/>
        </w:rPr>
        <w:t xml:space="preserve">care </w:t>
      </w:r>
      <w:r w:rsidR="00210DE0" w:rsidRPr="00D31EBB">
        <w:rPr>
          <w:rFonts w:ascii="Arial" w:eastAsia="Times New Roman" w:hAnsi="Arial" w:cs="Arial"/>
        </w:rPr>
        <w:t xml:space="preserve">planning </w:t>
      </w:r>
      <w:r w:rsidRPr="00D31EBB">
        <w:rPr>
          <w:rFonts w:ascii="Arial" w:eastAsia="Times New Roman" w:hAnsi="Arial" w:cs="Arial"/>
        </w:rPr>
        <w:t xml:space="preserve">arrangements and that any </w:t>
      </w:r>
      <w:proofErr w:type="spellStart"/>
      <w:r w:rsidRPr="00D31EBB">
        <w:rPr>
          <w:rFonts w:ascii="Arial" w:eastAsia="Times New Roman" w:hAnsi="Arial" w:cs="Arial"/>
        </w:rPr>
        <w:t>D</w:t>
      </w:r>
      <w:r w:rsidR="000E721B">
        <w:rPr>
          <w:rFonts w:ascii="Arial" w:eastAsia="Times New Roman" w:hAnsi="Arial" w:cs="Arial"/>
        </w:rPr>
        <w:t>o</w:t>
      </w:r>
      <w:r w:rsidRPr="00D31EBB">
        <w:rPr>
          <w:rFonts w:ascii="Arial" w:eastAsia="Times New Roman" w:hAnsi="Arial" w:cs="Arial"/>
        </w:rPr>
        <w:t>L</w:t>
      </w:r>
      <w:proofErr w:type="spellEnd"/>
      <w:r w:rsidRPr="00D31EBB">
        <w:rPr>
          <w:rFonts w:ascii="Arial" w:eastAsia="Times New Roman" w:hAnsi="Arial" w:cs="Arial"/>
        </w:rPr>
        <w:t xml:space="preserve"> was necessary and proportionate. </w:t>
      </w:r>
    </w:p>
    <w:p w14:paraId="1ACAFAA8" w14:textId="77777777" w:rsidR="007F5651" w:rsidRPr="0049512C" w:rsidRDefault="007F5651" w:rsidP="007F5651">
      <w:pPr>
        <w:spacing w:line="360" w:lineRule="auto"/>
        <w:rPr>
          <w:rFonts w:ascii="Arial" w:eastAsia="Times New Roman" w:hAnsi="Arial" w:cs="Arial"/>
          <w:color w:val="000000"/>
        </w:rPr>
      </w:pPr>
    </w:p>
    <w:p w14:paraId="77FEB640" w14:textId="13E65713" w:rsidR="007F5651" w:rsidRPr="0049512C" w:rsidRDefault="007F5651" w:rsidP="007F5651">
      <w:pPr>
        <w:spacing w:line="360" w:lineRule="auto"/>
        <w:rPr>
          <w:rFonts w:ascii="Arial" w:eastAsia="Times New Roman" w:hAnsi="Arial" w:cs="Arial"/>
          <w:color w:val="000000"/>
        </w:rPr>
      </w:pPr>
      <w:r w:rsidRPr="0049512C">
        <w:rPr>
          <w:rFonts w:ascii="Arial" w:eastAsia="Times New Roman" w:hAnsi="Arial" w:cs="Arial"/>
          <w:color w:val="000000"/>
        </w:rPr>
        <w:t>CCG</w:t>
      </w:r>
      <w:r w:rsidR="0089433E">
        <w:rPr>
          <w:rFonts w:ascii="Arial" w:eastAsia="Times New Roman" w:hAnsi="Arial" w:cs="Arial"/>
          <w:color w:val="000000"/>
        </w:rPr>
        <w:t>/ICS’</w:t>
      </w:r>
      <w:r w:rsidRPr="0049512C">
        <w:rPr>
          <w:rFonts w:ascii="Arial" w:eastAsia="Times New Roman" w:hAnsi="Arial" w:cs="Arial"/>
          <w:color w:val="000000"/>
        </w:rPr>
        <w:t>s and NHS Trusts will need to:</w:t>
      </w:r>
    </w:p>
    <w:p w14:paraId="01A2BBF0" w14:textId="77777777" w:rsidR="007F5651" w:rsidRDefault="007F5651" w:rsidP="007F5651">
      <w:pPr>
        <w:pStyle w:val="ListParagraph"/>
        <w:numPr>
          <w:ilvl w:val="0"/>
          <w:numId w:val="3"/>
        </w:num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Ensure relevant staff are aware of the new arrangements</w:t>
      </w:r>
    </w:p>
    <w:p w14:paraId="5B1099A9" w14:textId="77777777" w:rsidR="007F5651" w:rsidRDefault="007F5651" w:rsidP="007F5651">
      <w:pPr>
        <w:pStyle w:val="ListParagraph"/>
        <w:numPr>
          <w:ilvl w:val="0"/>
          <w:numId w:val="3"/>
        </w:num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Provide systems for applying LPS</w:t>
      </w:r>
    </w:p>
    <w:p w14:paraId="26E3E06F" w14:textId="77777777" w:rsidR="007F5651" w:rsidRPr="0049512C" w:rsidRDefault="007F5651" w:rsidP="007F5651">
      <w:pPr>
        <w:pStyle w:val="ListParagraph"/>
        <w:numPr>
          <w:ilvl w:val="0"/>
          <w:numId w:val="3"/>
        </w:numPr>
        <w:spacing w:line="360" w:lineRule="auto"/>
        <w:rPr>
          <w:rFonts w:ascii="Arial" w:eastAsia="Times New Roman" w:hAnsi="Arial" w:cs="Arial"/>
          <w:color w:val="000000"/>
          <w:sz w:val="24"/>
          <w:szCs w:val="24"/>
          <w:lang w:eastAsia="en-GB"/>
        </w:rPr>
      </w:pPr>
      <w:r w:rsidRPr="0049512C">
        <w:rPr>
          <w:rFonts w:ascii="Arial" w:eastAsia="Times New Roman" w:hAnsi="Arial" w:cs="Arial"/>
          <w:color w:val="000000"/>
          <w:sz w:val="24"/>
          <w:szCs w:val="24"/>
          <w:lang w:eastAsia="en-GB"/>
        </w:rPr>
        <w:t>Introduce mechanisms for monitoring LPS</w:t>
      </w:r>
    </w:p>
    <w:p w14:paraId="0F25C0D1" w14:textId="041573A8" w:rsidR="007F5651" w:rsidRPr="0049512C" w:rsidRDefault="007F5651" w:rsidP="007F5651">
      <w:pPr>
        <w:pStyle w:val="ListParagraph"/>
        <w:numPr>
          <w:ilvl w:val="0"/>
          <w:numId w:val="3"/>
        </w:numPr>
        <w:spacing w:line="360" w:lineRule="auto"/>
        <w:rPr>
          <w:rFonts w:ascii="Arial" w:eastAsia="Times New Roman" w:hAnsi="Arial" w:cs="Arial"/>
          <w:color w:val="000000"/>
          <w:sz w:val="24"/>
          <w:szCs w:val="24"/>
          <w:lang w:eastAsia="en-GB"/>
        </w:rPr>
      </w:pPr>
      <w:r w:rsidRPr="0049512C">
        <w:rPr>
          <w:rFonts w:ascii="Arial" w:eastAsia="Times New Roman" w:hAnsi="Arial" w:cs="Arial"/>
          <w:color w:val="000000"/>
          <w:sz w:val="24"/>
          <w:szCs w:val="24"/>
          <w:lang w:eastAsia="en-GB"/>
        </w:rPr>
        <w:t>Have access to suitable trained staff to authorise the application</w:t>
      </w:r>
      <w:r>
        <w:rPr>
          <w:rFonts w:ascii="Arial" w:eastAsia="Times New Roman" w:hAnsi="Arial" w:cs="Arial"/>
          <w:color w:val="000000"/>
          <w:sz w:val="24"/>
          <w:szCs w:val="24"/>
          <w:lang w:eastAsia="en-GB"/>
        </w:rPr>
        <w:t xml:space="preserve"> (Appendix 2)</w:t>
      </w:r>
      <w:r w:rsidR="000E721B">
        <w:rPr>
          <w:rFonts w:ascii="Arial" w:eastAsia="Times New Roman" w:hAnsi="Arial" w:cs="Arial"/>
          <w:color w:val="000000"/>
          <w:sz w:val="24"/>
          <w:szCs w:val="24"/>
          <w:lang w:eastAsia="en-GB"/>
        </w:rPr>
        <w:t xml:space="preserve"> including</w:t>
      </w:r>
    </w:p>
    <w:p w14:paraId="3662D822" w14:textId="4EFFF787" w:rsidR="007F5651" w:rsidRPr="0049512C" w:rsidRDefault="007F5651" w:rsidP="007F5651">
      <w:pPr>
        <w:pStyle w:val="ListParagraph"/>
        <w:numPr>
          <w:ilvl w:val="1"/>
          <w:numId w:val="3"/>
        </w:numPr>
        <w:spacing w:line="360" w:lineRule="auto"/>
        <w:rPr>
          <w:rFonts w:ascii="Arial" w:eastAsia="Times New Roman" w:hAnsi="Arial" w:cs="Arial"/>
          <w:color w:val="000000"/>
          <w:sz w:val="24"/>
          <w:szCs w:val="24"/>
          <w:lang w:eastAsia="en-GB"/>
        </w:rPr>
      </w:pPr>
      <w:r w:rsidRPr="0049512C">
        <w:rPr>
          <w:rFonts w:ascii="Arial" w:eastAsia="Times New Roman" w:hAnsi="Arial" w:cs="Arial"/>
          <w:color w:val="000000"/>
          <w:sz w:val="24"/>
          <w:szCs w:val="24"/>
          <w:lang w:eastAsia="en-GB"/>
        </w:rPr>
        <w:t>Pre</w:t>
      </w:r>
      <w:r w:rsidR="003E5F60">
        <w:rPr>
          <w:rFonts w:ascii="Arial" w:eastAsia="Times New Roman" w:hAnsi="Arial" w:cs="Arial"/>
          <w:color w:val="000000"/>
          <w:sz w:val="24"/>
          <w:szCs w:val="24"/>
          <w:lang w:eastAsia="en-GB"/>
        </w:rPr>
        <w:t>-</w:t>
      </w:r>
      <w:r w:rsidRPr="0049512C">
        <w:rPr>
          <w:rFonts w:ascii="Arial" w:eastAsia="Times New Roman" w:hAnsi="Arial" w:cs="Arial"/>
          <w:color w:val="000000"/>
          <w:sz w:val="24"/>
          <w:szCs w:val="24"/>
          <w:lang w:eastAsia="en-GB"/>
        </w:rPr>
        <w:t>authorisation reviews</w:t>
      </w:r>
    </w:p>
    <w:p w14:paraId="090A71C3" w14:textId="77777777" w:rsidR="007F5651" w:rsidRDefault="007F5651" w:rsidP="007F5651">
      <w:pPr>
        <w:pStyle w:val="ListParagraph"/>
        <w:numPr>
          <w:ilvl w:val="1"/>
          <w:numId w:val="3"/>
        </w:numPr>
        <w:spacing w:line="360" w:lineRule="auto"/>
        <w:rPr>
          <w:rFonts w:ascii="Arial" w:eastAsia="Times New Roman" w:hAnsi="Arial" w:cs="Arial"/>
          <w:color w:val="000000"/>
          <w:sz w:val="24"/>
          <w:szCs w:val="24"/>
          <w:lang w:eastAsia="en-GB"/>
        </w:rPr>
      </w:pPr>
      <w:r w:rsidRPr="0049512C">
        <w:rPr>
          <w:rFonts w:ascii="Arial" w:eastAsia="Times New Roman" w:hAnsi="Arial" w:cs="Arial"/>
          <w:color w:val="000000"/>
          <w:sz w:val="24"/>
          <w:szCs w:val="24"/>
          <w:lang w:eastAsia="en-GB"/>
        </w:rPr>
        <w:t>Medical assessments</w:t>
      </w:r>
    </w:p>
    <w:p w14:paraId="70BAFE68" w14:textId="77777777" w:rsidR="007F5651" w:rsidRPr="0049512C" w:rsidRDefault="007F5651" w:rsidP="007F5651">
      <w:pPr>
        <w:pStyle w:val="ListParagraph"/>
        <w:numPr>
          <w:ilvl w:val="1"/>
          <w:numId w:val="3"/>
        </w:num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Approved Mental Capacity Act Professionals</w:t>
      </w:r>
    </w:p>
    <w:p w14:paraId="50BEE14E" w14:textId="134203CD" w:rsidR="007F5651" w:rsidRDefault="007F5651" w:rsidP="007F5651">
      <w:pPr>
        <w:pStyle w:val="ListParagraph"/>
        <w:numPr>
          <w:ilvl w:val="0"/>
          <w:numId w:val="3"/>
        </w:num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Access the IMCA service</w:t>
      </w:r>
    </w:p>
    <w:p w14:paraId="669899E0" w14:textId="7EB54F91" w:rsidR="000D4479" w:rsidRPr="000D4479" w:rsidRDefault="000D4479" w:rsidP="000D4479">
      <w:pPr>
        <w:spacing w:line="360" w:lineRule="auto"/>
        <w:rPr>
          <w:rFonts w:ascii="Arial" w:eastAsia="Times New Roman" w:hAnsi="Arial" w:cs="Arial"/>
          <w:color w:val="000000"/>
        </w:rPr>
      </w:pPr>
      <w:r>
        <w:rPr>
          <w:rFonts w:ascii="Arial" w:eastAsia="Times New Roman" w:hAnsi="Arial" w:cs="Arial"/>
          <w:color w:val="000000"/>
        </w:rPr>
        <w:t xml:space="preserve">Whilst the NHS may need staff to undertake the role of the AMCP, approval of these roles will be </w:t>
      </w:r>
      <w:r w:rsidR="00CE6B13">
        <w:rPr>
          <w:rFonts w:ascii="Arial" w:eastAsia="Times New Roman" w:hAnsi="Arial" w:cs="Arial"/>
          <w:color w:val="000000"/>
        </w:rPr>
        <w:t>the responsibility of the Local Authority</w:t>
      </w:r>
      <w:r w:rsidR="002179C4">
        <w:rPr>
          <w:rFonts w:ascii="Arial" w:eastAsia="Times New Roman" w:hAnsi="Arial" w:cs="Arial"/>
          <w:color w:val="000000"/>
        </w:rPr>
        <w:t xml:space="preserve"> (although the AMCP is able to be employed within the </w:t>
      </w:r>
      <w:r w:rsidR="000E721B">
        <w:rPr>
          <w:rFonts w:ascii="Arial" w:eastAsia="Times New Roman" w:hAnsi="Arial" w:cs="Arial"/>
          <w:color w:val="000000"/>
        </w:rPr>
        <w:t>responsible body NHS Trust</w:t>
      </w:r>
      <w:r w:rsidR="002179C4">
        <w:rPr>
          <w:rFonts w:ascii="Arial" w:eastAsia="Times New Roman" w:hAnsi="Arial" w:cs="Arial"/>
          <w:color w:val="000000"/>
        </w:rPr>
        <w:t>)</w:t>
      </w:r>
      <w:r w:rsidR="00CE6B13">
        <w:rPr>
          <w:rFonts w:ascii="Arial" w:eastAsia="Times New Roman" w:hAnsi="Arial" w:cs="Arial"/>
          <w:color w:val="000000"/>
        </w:rPr>
        <w:t>.</w:t>
      </w:r>
    </w:p>
    <w:p w14:paraId="60637E83" w14:textId="11284EA0" w:rsidR="00CE6B13" w:rsidRDefault="00CE6B13" w:rsidP="007F5651">
      <w:pPr>
        <w:spacing w:line="360" w:lineRule="auto"/>
        <w:rPr>
          <w:rFonts w:ascii="Arial" w:eastAsia="Times New Roman" w:hAnsi="Arial" w:cs="Arial"/>
          <w:b/>
          <w:color w:val="0070C0"/>
          <w:sz w:val="36"/>
          <w:szCs w:val="36"/>
        </w:rPr>
      </w:pPr>
    </w:p>
    <w:p w14:paraId="525CFEA8" w14:textId="77777777" w:rsidR="00CA571C" w:rsidRDefault="00CA571C" w:rsidP="007F5651">
      <w:pPr>
        <w:spacing w:line="360" w:lineRule="auto"/>
        <w:rPr>
          <w:rFonts w:ascii="Arial" w:eastAsia="Times New Roman" w:hAnsi="Arial" w:cs="Arial"/>
          <w:b/>
          <w:color w:val="0070C0"/>
          <w:sz w:val="36"/>
          <w:szCs w:val="36"/>
        </w:rPr>
      </w:pPr>
    </w:p>
    <w:p w14:paraId="52028937" w14:textId="1D083EF2" w:rsidR="000D4479" w:rsidRDefault="000D4479" w:rsidP="007F5651">
      <w:pPr>
        <w:spacing w:line="360" w:lineRule="auto"/>
        <w:rPr>
          <w:rFonts w:ascii="Arial" w:eastAsia="Times New Roman" w:hAnsi="Arial" w:cs="Arial"/>
          <w:b/>
          <w:color w:val="0070C0"/>
          <w:sz w:val="36"/>
          <w:szCs w:val="36"/>
        </w:rPr>
      </w:pPr>
      <w:r>
        <w:rPr>
          <w:rFonts w:ascii="Arial" w:eastAsia="Times New Roman" w:hAnsi="Arial" w:cs="Arial"/>
          <w:b/>
          <w:color w:val="0070C0"/>
          <w:sz w:val="36"/>
          <w:szCs w:val="36"/>
        </w:rPr>
        <w:lastRenderedPageBreak/>
        <w:t xml:space="preserve">Hospitals </w:t>
      </w:r>
    </w:p>
    <w:p w14:paraId="156D910B" w14:textId="0CBA6B42" w:rsidR="00D417EE" w:rsidRDefault="00CE6B13" w:rsidP="007F5651">
      <w:pPr>
        <w:spacing w:line="360" w:lineRule="auto"/>
        <w:rPr>
          <w:rFonts w:ascii="Arial" w:eastAsia="Times New Roman" w:hAnsi="Arial" w:cs="Arial"/>
          <w:color w:val="000000"/>
        </w:rPr>
      </w:pPr>
      <w:r>
        <w:rPr>
          <w:rFonts w:ascii="Arial" w:eastAsia="Times New Roman" w:hAnsi="Arial" w:cs="Arial"/>
          <w:color w:val="000000"/>
        </w:rPr>
        <w:t>Where care</w:t>
      </w:r>
      <w:r w:rsidR="00D417EE">
        <w:rPr>
          <w:rFonts w:ascii="Arial" w:eastAsia="Times New Roman" w:hAnsi="Arial" w:cs="Arial"/>
          <w:color w:val="000000"/>
        </w:rPr>
        <w:t xml:space="preserve"> which amounts to a </w:t>
      </w:r>
      <w:proofErr w:type="spellStart"/>
      <w:r w:rsidR="00D417EE">
        <w:rPr>
          <w:rFonts w:ascii="Arial" w:eastAsia="Times New Roman" w:hAnsi="Arial" w:cs="Arial"/>
          <w:color w:val="000000"/>
        </w:rPr>
        <w:t>DoL</w:t>
      </w:r>
      <w:proofErr w:type="spellEnd"/>
      <w:r w:rsidR="00D417EE">
        <w:rPr>
          <w:rFonts w:ascii="Arial" w:eastAsia="Times New Roman" w:hAnsi="Arial" w:cs="Arial"/>
          <w:color w:val="000000"/>
        </w:rPr>
        <w:t xml:space="preserve"> </w:t>
      </w:r>
      <w:r>
        <w:rPr>
          <w:rFonts w:ascii="Arial" w:eastAsia="Times New Roman" w:hAnsi="Arial" w:cs="Arial"/>
          <w:color w:val="000000"/>
        </w:rPr>
        <w:t>is provided in a</w:t>
      </w:r>
      <w:r w:rsidR="002179C4">
        <w:rPr>
          <w:rFonts w:ascii="Arial" w:eastAsia="Times New Roman" w:hAnsi="Arial" w:cs="Arial"/>
          <w:color w:val="000000"/>
        </w:rPr>
        <w:t>n NHS</w:t>
      </w:r>
      <w:r>
        <w:rPr>
          <w:rFonts w:ascii="Arial" w:eastAsia="Times New Roman" w:hAnsi="Arial" w:cs="Arial"/>
          <w:color w:val="000000"/>
        </w:rPr>
        <w:t xml:space="preserve"> hospital, the hospital will be the responsible body. This will apply to</w:t>
      </w:r>
      <w:r w:rsidR="00CF718C">
        <w:rPr>
          <w:rFonts w:ascii="Arial" w:eastAsia="Times New Roman" w:hAnsi="Arial" w:cs="Arial"/>
          <w:color w:val="000000"/>
        </w:rPr>
        <w:t xml:space="preserve"> anyone over </w:t>
      </w:r>
      <w:r>
        <w:rPr>
          <w:rFonts w:ascii="Arial" w:eastAsia="Times New Roman" w:hAnsi="Arial" w:cs="Arial"/>
          <w:color w:val="000000"/>
        </w:rPr>
        <w:t xml:space="preserve">the age of 16. </w:t>
      </w:r>
    </w:p>
    <w:p w14:paraId="3693C536" w14:textId="598B0BD2" w:rsidR="00CF718C" w:rsidRDefault="00333B50" w:rsidP="007F5651">
      <w:pPr>
        <w:spacing w:line="360" w:lineRule="auto"/>
        <w:rPr>
          <w:rFonts w:ascii="Arial" w:eastAsia="Times New Roman" w:hAnsi="Arial" w:cs="Arial"/>
          <w:color w:val="000000"/>
        </w:rPr>
      </w:pPr>
      <w:r>
        <w:rPr>
          <w:rFonts w:ascii="Arial" w:eastAsia="Times New Roman" w:hAnsi="Arial" w:cs="Arial"/>
          <w:color w:val="000000"/>
        </w:rPr>
        <w:t xml:space="preserve">Life-sustaining treatment or a vital act can generally be carried out (under an amended MCA s4B) where it is reasonably thought that the patient lacks capacity for the relevant decisions, that they are in his / her best interests and that they are necessary and proportionate, </w:t>
      </w:r>
      <w:r w:rsidR="00CF718C">
        <w:rPr>
          <w:rFonts w:ascii="Arial" w:eastAsia="Times New Roman" w:hAnsi="Arial" w:cs="Arial"/>
          <w:color w:val="000000"/>
        </w:rPr>
        <w:t xml:space="preserve">whilst waiting for a decision from the </w:t>
      </w:r>
      <w:r>
        <w:rPr>
          <w:rFonts w:ascii="Arial" w:eastAsia="Times New Roman" w:hAnsi="Arial" w:cs="Arial"/>
          <w:color w:val="000000"/>
        </w:rPr>
        <w:t xml:space="preserve">LPS </w:t>
      </w:r>
      <w:r w:rsidR="00CF718C">
        <w:rPr>
          <w:rFonts w:ascii="Arial" w:eastAsia="Times New Roman" w:hAnsi="Arial" w:cs="Arial"/>
          <w:color w:val="000000"/>
        </w:rPr>
        <w:t xml:space="preserve">responsible body or </w:t>
      </w:r>
      <w:r>
        <w:rPr>
          <w:rFonts w:ascii="Arial" w:eastAsia="Times New Roman" w:hAnsi="Arial" w:cs="Arial"/>
          <w:color w:val="000000"/>
        </w:rPr>
        <w:t>the C</w:t>
      </w:r>
      <w:r w:rsidR="00CF718C">
        <w:rPr>
          <w:rFonts w:ascii="Arial" w:eastAsia="Times New Roman" w:hAnsi="Arial" w:cs="Arial"/>
          <w:color w:val="000000"/>
        </w:rPr>
        <w:t xml:space="preserve">ourt of </w:t>
      </w:r>
      <w:r>
        <w:rPr>
          <w:rFonts w:ascii="Arial" w:eastAsia="Times New Roman" w:hAnsi="Arial" w:cs="Arial"/>
          <w:color w:val="000000"/>
        </w:rPr>
        <w:t>P</w:t>
      </w:r>
      <w:r w:rsidR="00CF718C">
        <w:rPr>
          <w:rFonts w:ascii="Arial" w:eastAsia="Times New Roman" w:hAnsi="Arial" w:cs="Arial"/>
          <w:color w:val="000000"/>
        </w:rPr>
        <w:t xml:space="preserve">rotection, </w:t>
      </w:r>
      <w:r>
        <w:rPr>
          <w:rFonts w:ascii="Arial" w:eastAsia="Times New Roman" w:hAnsi="Arial" w:cs="Arial"/>
          <w:color w:val="000000"/>
        </w:rPr>
        <w:t xml:space="preserve">or in an emergency when such steps are necessary and there is no time to go through LPS or to the Court.  </w:t>
      </w:r>
    </w:p>
    <w:p w14:paraId="45D63B30" w14:textId="16362771" w:rsidR="007F5651" w:rsidRDefault="00CF718C" w:rsidP="007F5651">
      <w:pPr>
        <w:spacing w:line="360" w:lineRule="auto"/>
        <w:rPr>
          <w:rFonts w:ascii="Arial" w:eastAsia="Times New Roman" w:hAnsi="Arial" w:cs="Arial"/>
          <w:color w:val="000000"/>
        </w:rPr>
      </w:pPr>
      <w:r>
        <w:rPr>
          <w:rFonts w:ascii="Arial" w:eastAsia="Times New Roman" w:hAnsi="Arial" w:cs="Arial"/>
          <w:color w:val="000000"/>
        </w:rPr>
        <w:t>Independent Hospitals, such as Hospices will need to apply to the Local Authority who will be the responsible body</w:t>
      </w:r>
    </w:p>
    <w:p w14:paraId="3776C132" w14:textId="77777777" w:rsidR="009D2F91" w:rsidRDefault="009D2F91" w:rsidP="007F5651">
      <w:pPr>
        <w:spacing w:line="360" w:lineRule="auto"/>
        <w:rPr>
          <w:rFonts w:ascii="Arial" w:eastAsia="Times New Roman" w:hAnsi="Arial" w:cs="Arial"/>
          <w:color w:val="000000"/>
        </w:rPr>
      </w:pPr>
    </w:p>
    <w:p w14:paraId="277B1899" w14:textId="386B76A8" w:rsidR="009D2F91" w:rsidRDefault="009D2F91" w:rsidP="007F5651">
      <w:pPr>
        <w:spacing w:line="360" w:lineRule="auto"/>
        <w:rPr>
          <w:rFonts w:ascii="Arial" w:eastAsia="Times New Roman" w:hAnsi="Arial" w:cs="Arial"/>
          <w:color w:val="000000"/>
        </w:rPr>
      </w:pPr>
    </w:p>
    <w:p w14:paraId="53E77783" w14:textId="4151F9D5" w:rsidR="000D4479" w:rsidRDefault="000D4479" w:rsidP="007F5651">
      <w:pPr>
        <w:spacing w:line="360" w:lineRule="auto"/>
        <w:rPr>
          <w:rFonts w:ascii="Arial" w:eastAsia="Times New Roman" w:hAnsi="Arial" w:cs="Arial"/>
          <w:b/>
          <w:color w:val="0070C0"/>
          <w:sz w:val="36"/>
          <w:szCs w:val="36"/>
        </w:rPr>
      </w:pPr>
      <w:r>
        <w:rPr>
          <w:rFonts w:ascii="Arial" w:eastAsia="Times New Roman" w:hAnsi="Arial" w:cs="Arial"/>
          <w:b/>
          <w:color w:val="0070C0"/>
          <w:sz w:val="36"/>
          <w:szCs w:val="36"/>
        </w:rPr>
        <w:t>CCG</w:t>
      </w:r>
      <w:r w:rsidR="0089433E">
        <w:rPr>
          <w:rFonts w:ascii="Arial" w:eastAsia="Times New Roman" w:hAnsi="Arial" w:cs="Arial"/>
          <w:b/>
          <w:color w:val="0070C0"/>
          <w:sz w:val="36"/>
          <w:szCs w:val="36"/>
        </w:rPr>
        <w:t>/ICS’</w:t>
      </w:r>
      <w:r>
        <w:rPr>
          <w:rFonts w:ascii="Arial" w:eastAsia="Times New Roman" w:hAnsi="Arial" w:cs="Arial"/>
          <w:b/>
          <w:color w:val="0070C0"/>
          <w:sz w:val="36"/>
          <w:szCs w:val="36"/>
        </w:rPr>
        <w:t>s</w:t>
      </w:r>
    </w:p>
    <w:p w14:paraId="0DB3D30A" w14:textId="4651528D" w:rsidR="009D2F91" w:rsidRDefault="00CE6B13" w:rsidP="007F5651">
      <w:pPr>
        <w:spacing w:line="360" w:lineRule="auto"/>
        <w:rPr>
          <w:rFonts w:ascii="Arial" w:eastAsia="Times New Roman" w:hAnsi="Arial" w:cs="Arial"/>
          <w:color w:val="000000"/>
        </w:rPr>
      </w:pPr>
      <w:r>
        <w:rPr>
          <w:rFonts w:ascii="Arial" w:eastAsia="Times New Roman" w:hAnsi="Arial" w:cs="Arial"/>
          <w:color w:val="000000"/>
        </w:rPr>
        <w:t xml:space="preserve">If a patient is funded by CHC, the responsible body will be the </w:t>
      </w:r>
      <w:r w:rsidR="009D2F91">
        <w:rPr>
          <w:rFonts w:ascii="Arial" w:eastAsia="Times New Roman" w:hAnsi="Arial" w:cs="Arial"/>
          <w:color w:val="000000"/>
        </w:rPr>
        <w:t>CCG</w:t>
      </w:r>
      <w:r w:rsidR="0089433E">
        <w:rPr>
          <w:rFonts w:ascii="Arial" w:eastAsia="Times New Roman" w:hAnsi="Arial" w:cs="Arial"/>
          <w:color w:val="000000"/>
        </w:rPr>
        <w:t>/ICS</w:t>
      </w:r>
      <w:r>
        <w:rPr>
          <w:rFonts w:ascii="Arial" w:eastAsia="Times New Roman" w:hAnsi="Arial" w:cs="Arial"/>
          <w:color w:val="000000"/>
        </w:rPr>
        <w:t>. For those who meet the criteria for CHC (</w:t>
      </w:r>
      <w:proofErr w:type="gramStart"/>
      <w:r w:rsidR="00D417EE">
        <w:rPr>
          <w:rFonts w:ascii="Arial" w:eastAsia="Times New Roman" w:hAnsi="Arial" w:cs="Arial"/>
          <w:color w:val="000000"/>
        </w:rPr>
        <w:t>i.e.</w:t>
      </w:r>
      <w:proofErr w:type="gramEnd"/>
      <w:r>
        <w:rPr>
          <w:rFonts w:ascii="Arial" w:eastAsia="Times New Roman" w:hAnsi="Arial" w:cs="Arial"/>
          <w:color w:val="000000"/>
        </w:rPr>
        <w:t xml:space="preserve"> over the age of 18) the application will be made to the CCG</w:t>
      </w:r>
      <w:r w:rsidR="0089433E">
        <w:rPr>
          <w:rFonts w:ascii="Arial" w:eastAsia="Times New Roman" w:hAnsi="Arial" w:cs="Arial"/>
          <w:color w:val="000000"/>
        </w:rPr>
        <w:t>/ICS</w:t>
      </w:r>
      <w:r w:rsidR="00931A9A">
        <w:rPr>
          <w:rFonts w:ascii="Arial" w:eastAsia="Times New Roman" w:hAnsi="Arial" w:cs="Arial"/>
          <w:color w:val="000000"/>
        </w:rPr>
        <w:t xml:space="preserve"> (except where that patient is admitted to </w:t>
      </w:r>
      <w:r w:rsidR="00D417EE">
        <w:rPr>
          <w:rFonts w:ascii="Arial" w:eastAsia="Times New Roman" w:hAnsi="Arial" w:cs="Arial"/>
          <w:color w:val="000000"/>
        </w:rPr>
        <w:t xml:space="preserve">an NHS </w:t>
      </w:r>
      <w:r w:rsidR="00931A9A">
        <w:rPr>
          <w:rFonts w:ascii="Arial" w:eastAsia="Times New Roman" w:hAnsi="Arial" w:cs="Arial"/>
          <w:color w:val="000000"/>
        </w:rPr>
        <w:t>hospital)</w:t>
      </w:r>
      <w:r>
        <w:rPr>
          <w:rFonts w:ascii="Arial" w:eastAsia="Times New Roman" w:hAnsi="Arial" w:cs="Arial"/>
          <w:color w:val="000000"/>
        </w:rPr>
        <w:t xml:space="preserve">. </w:t>
      </w:r>
    </w:p>
    <w:p w14:paraId="1674B77A" w14:textId="77777777" w:rsidR="00CE6B13" w:rsidRDefault="00CE6B13" w:rsidP="007F5651">
      <w:pPr>
        <w:spacing w:line="360" w:lineRule="auto"/>
        <w:rPr>
          <w:rFonts w:ascii="Arial" w:eastAsia="Times New Roman" w:hAnsi="Arial" w:cs="Arial"/>
          <w:color w:val="000000"/>
        </w:rPr>
      </w:pPr>
    </w:p>
    <w:p w14:paraId="7CC12130" w14:textId="560A692B" w:rsidR="00CE6B13" w:rsidRDefault="00CE6B13" w:rsidP="007F5651">
      <w:pPr>
        <w:spacing w:line="360" w:lineRule="auto"/>
        <w:rPr>
          <w:rFonts w:ascii="Arial" w:eastAsia="Times New Roman" w:hAnsi="Arial" w:cs="Arial"/>
          <w:color w:val="000000"/>
        </w:rPr>
      </w:pPr>
      <w:r>
        <w:rPr>
          <w:rFonts w:ascii="Arial" w:eastAsia="Times New Roman" w:hAnsi="Arial" w:cs="Arial"/>
          <w:color w:val="000000"/>
        </w:rPr>
        <w:t>Where a patient is not in</w:t>
      </w:r>
      <w:r w:rsidR="00D417EE">
        <w:rPr>
          <w:rFonts w:ascii="Arial" w:eastAsia="Times New Roman" w:hAnsi="Arial" w:cs="Arial"/>
          <w:color w:val="000000"/>
        </w:rPr>
        <w:t xml:space="preserve"> an NHS</w:t>
      </w:r>
      <w:r>
        <w:rPr>
          <w:rFonts w:ascii="Arial" w:eastAsia="Times New Roman" w:hAnsi="Arial" w:cs="Arial"/>
          <w:color w:val="000000"/>
        </w:rPr>
        <w:t xml:space="preserve"> hospital or in receipt of CHC the responsible body will be the Local Authority.</w:t>
      </w:r>
    </w:p>
    <w:p w14:paraId="755E4509" w14:textId="77777777" w:rsidR="007F5651" w:rsidRDefault="007F5651" w:rsidP="007F5651">
      <w:pPr>
        <w:spacing w:line="360" w:lineRule="auto"/>
        <w:rPr>
          <w:rFonts w:ascii="Arial" w:hAnsi="Arial" w:cs="Arial"/>
        </w:rPr>
      </w:pPr>
    </w:p>
    <w:p w14:paraId="3C8B5EDC" w14:textId="77777777" w:rsidR="007F5651" w:rsidRDefault="007F5651" w:rsidP="007F5651">
      <w:pPr>
        <w:spacing w:line="360" w:lineRule="auto"/>
        <w:rPr>
          <w:rFonts w:ascii="Arial" w:hAnsi="Arial" w:cs="Arial"/>
        </w:rPr>
      </w:pPr>
    </w:p>
    <w:p w14:paraId="22CE104A" w14:textId="31320152" w:rsidR="007F5651" w:rsidRDefault="006E7CDE" w:rsidP="00E81E05">
      <w:pPr>
        <w:rPr>
          <w:rFonts w:ascii="Arial" w:eastAsia="Times New Roman" w:hAnsi="Arial" w:cs="Arial"/>
          <w:b/>
          <w:color w:val="0070C0"/>
          <w:sz w:val="36"/>
          <w:szCs w:val="36"/>
        </w:rPr>
      </w:pPr>
      <w:r>
        <w:rPr>
          <w:rFonts w:ascii="Arial" w:eastAsia="Times New Roman" w:hAnsi="Arial" w:cs="Arial"/>
          <w:b/>
          <w:color w:val="0070C0"/>
          <w:sz w:val="36"/>
          <w:szCs w:val="36"/>
        </w:rPr>
        <w:t>National work being undertaken</w:t>
      </w:r>
    </w:p>
    <w:p w14:paraId="66698293" w14:textId="72E72970" w:rsidR="006E7CDE" w:rsidRDefault="006E7CDE" w:rsidP="00E81E05">
      <w:pPr>
        <w:rPr>
          <w:rFonts w:ascii="Arial" w:eastAsia="Times New Roman" w:hAnsi="Arial" w:cs="Arial"/>
          <w:b/>
          <w:color w:val="0070C0"/>
          <w:sz w:val="36"/>
          <w:szCs w:val="36"/>
        </w:rPr>
      </w:pPr>
    </w:p>
    <w:p w14:paraId="292DAC18" w14:textId="71E10761" w:rsidR="006E7CDE" w:rsidRPr="00C50F39" w:rsidRDefault="006E7CDE" w:rsidP="00E81E05">
      <w:pPr>
        <w:rPr>
          <w:rFonts w:ascii="Arial" w:eastAsia="Times New Roman" w:hAnsi="Arial" w:cs="Arial"/>
          <w:color w:val="000000"/>
        </w:rPr>
      </w:pPr>
      <w:r w:rsidRPr="00C50F39">
        <w:rPr>
          <w:rFonts w:ascii="Arial" w:eastAsia="Times New Roman" w:hAnsi="Arial" w:cs="Arial"/>
          <w:color w:val="000000"/>
        </w:rPr>
        <w:t xml:space="preserve">There are </w:t>
      </w:r>
      <w:proofErr w:type="gramStart"/>
      <w:r w:rsidRPr="00C50F39">
        <w:rPr>
          <w:rFonts w:ascii="Arial" w:eastAsia="Times New Roman" w:hAnsi="Arial" w:cs="Arial"/>
          <w:color w:val="000000"/>
        </w:rPr>
        <w:t>a number of</w:t>
      </w:r>
      <w:proofErr w:type="gramEnd"/>
      <w:r w:rsidRPr="00C50F39">
        <w:rPr>
          <w:rFonts w:ascii="Arial" w:eastAsia="Times New Roman" w:hAnsi="Arial" w:cs="Arial"/>
          <w:color w:val="000000"/>
        </w:rPr>
        <w:t xml:space="preserve"> national workstreams looking at different aspects of the LPS including</w:t>
      </w:r>
      <w:r w:rsidR="00C4024E" w:rsidRPr="00C50F39">
        <w:rPr>
          <w:rFonts w:ascii="Arial" w:eastAsia="Times New Roman" w:hAnsi="Arial" w:cs="Arial"/>
          <w:color w:val="000000"/>
        </w:rPr>
        <w:t>:</w:t>
      </w:r>
    </w:p>
    <w:p w14:paraId="7AB0A2D9" w14:textId="7D138397" w:rsidR="006E7CDE" w:rsidRPr="00C50F39" w:rsidRDefault="006E7CDE" w:rsidP="00E81E05">
      <w:pPr>
        <w:rPr>
          <w:rFonts w:ascii="Arial" w:eastAsia="Times New Roman" w:hAnsi="Arial" w:cs="Arial"/>
          <w:color w:val="000000"/>
        </w:rPr>
      </w:pPr>
    </w:p>
    <w:p w14:paraId="5F643DBF" w14:textId="77F74501" w:rsidR="006E7CDE" w:rsidRPr="00C50F39" w:rsidRDefault="006E7CDE" w:rsidP="00C60AFC">
      <w:pPr>
        <w:pStyle w:val="ListParagraph"/>
        <w:numPr>
          <w:ilvl w:val="0"/>
          <w:numId w:val="5"/>
        </w:numPr>
        <w:spacing w:line="240" w:lineRule="auto"/>
        <w:rPr>
          <w:rFonts w:ascii="Arial" w:eastAsia="Times New Roman" w:hAnsi="Arial" w:cs="Arial"/>
          <w:color w:val="000000"/>
          <w:sz w:val="24"/>
          <w:szCs w:val="24"/>
          <w:lang w:eastAsia="en-GB"/>
        </w:rPr>
      </w:pPr>
      <w:r w:rsidRPr="00C50F39">
        <w:rPr>
          <w:rFonts w:ascii="Arial" w:eastAsia="Times New Roman" w:hAnsi="Arial" w:cs="Arial"/>
          <w:color w:val="000000"/>
          <w:sz w:val="24"/>
          <w:szCs w:val="24"/>
          <w:lang w:eastAsia="en-GB"/>
        </w:rPr>
        <w:t>Forms</w:t>
      </w:r>
      <w:r w:rsidR="0042044F" w:rsidRPr="00C50F39">
        <w:rPr>
          <w:rFonts w:ascii="Arial" w:eastAsia="Times New Roman" w:hAnsi="Arial" w:cs="Arial"/>
          <w:color w:val="000000"/>
          <w:sz w:val="24"/>
          <w:szCs w:val="24"/>
          <w:lang w:eastAsia="en-GB"/>
        </w:rPr>
        <w:t xml:space="preserve">, </w:t>
      </w:r>
      <w:proofErr w:type="gramStart"/>
      <w:r w:rsidR="0042044F" w:rsidRPr="00C50F39">
        <w:rPr>
          <w:rFonts w:ascii="Arial" w:eastAsia="Times New Roman" w:hAnsi="Arial" w:cs="Arial"/>
          <w:color w:val="000000"/>
          <w:sz w:val="24"/>
          <w:szCs w:val="24"/>
          <w:lang w:eastAsia="en-GB"/>
        </w:rPr>
        <w:t>coding</w:t>
      </w:r>
      <w:proofErr w:type="gramEnd"/>
      <w:r w:rsidRPr="00C50F39">
        <w:rPr>
          <w:rFonts w:ascii="Arial" w:eastAsia="Times New Roman" w:hAnsi="Arial" w:cs="Arial"/>
          <w:color w:val="000000"/>
          <w:sz w:val="24"/>
          <w:szCs w:val="24"/>
          <w:lang w:eastAsia="en-GB"/>
        </w:rPr>
        <w:t xml:space="preserve"> and data set</w:t>
      </w:r>
      <w:r w:rsidR="0042044F" w:rsidRPr="00C50F39">
        <w:rPr>
          <w:rFonts w:ascii="Arial" w:eastAsia="Times New Roman" w:hAnsi="Arial" w:cs="Arial"/>
          <w:color w:val="000000"/>
          <w:sz w:val="24"/>
          <w:szCs w:val="24"/>
          <w:lang w:eastAsia="en-GB"/>
        </w:rPr>
        <w:t>s collection including clinical system providers</w:t>
      </w:r>
    </w:p>
    <w:p w14:paraId="0725FDC7" w14:textId="05C086A8" w:rsidR="006E7CDE" w:rsidRPr="00C50F39" w:rsidRDefault="006E7CDE" w:rsidP="00C60AFC">
      <w:pPr>
        <w:pStyle w:val="ListParagraph"/>
        <w:numPr>
          <w:ilvl w:val="0"/>
          <w:numId w:val="5"/>
        </w:numPr>
        <w:spacing w:line="240" w:lineRule="auto"/>
        <w:rPr>
          <w:rFonts w:ascii="Arial" w:eastAsia="Times New Roman" w:hAnsi="Arial" w:cs="Arial"/>
          <w:color w:val="000000"/>
          <w:sz w:val="24"/>
          <w:szCs w:val="24"/>
          <w:lang w:eastAsia="en-GB"/>
        </w:rPr>
      </w:pPr>
      <w:r w:rsidRPr="00C50F39">
        <w:rPr>
          <w:rFonts w:ascii="Arial" w:eastAsia="Times New Roman" w:hAnsi="Arial" w:cs="Arial"/>
          <w:color w:val="000000"/>
          <w:sz w:val="24"/>
          <w:szCs w:val="24"/>
          <w:lang w:eastAsia="en-GB"/>
        </w:rPr>
        <w:t>Training materials</w:t>
      </w:r>
      <w:r w:rsidR="0042044F" w:rsidRPr="00C50F39">
        <w:rPr>
          <w:rFonts w:ascii="Arial" w:eastAsia="Times New Roman" w:hAnsi="Arial" w:cs="Arial"/>
          <w:color w:val="000000"/>
          <w:sz w:val="24"/>
          <w:szCs w:val="24"/>
          <w:lang w:eastAsia="en-GB"/>
        </w:rPr>
        <w:t xml:space="preserve"> in co-ordination with Health Education England</w:t>
      </w:r>
    </w:p>
    <w:p w14:paraId="2C32C22B" w14:textId="371D87E9" w:rsidR="006E7CDE" w:rsidRPr="00C50F39" w:rsidRDefault="006E7CDE" w:rsidP="00C60AFC">
      <w:pPr>
        <w:pStyle w:val="ListParagraph"/>
        <w:numPr>
          <w:ilvl w:val="0"/>
          <w:numId w:val="5"/>
        </w:numPr>
        <w:spacing w:line="240" w:lineRule="auto"/>
        <w:rPr>
          <w:rFonts w:ascii="Arial" w:eastAsia="Times New Roman" w:hAnsi="Arial" w:cs="Arial"/>
          <w:color w:val="000000"/>
          <w:sz w:val="24"/>
          <w:szCs w:val="24"/>
          <w:lang w:eastAsia="en-GB"/>
        </w:rPr>
      </w:pPr>
      <w:r w:rsidRPr="00C50F39">
        <w:rPr>
          <w:rFonts w:ascii="Arial" w:eastAsia="Times New Roman" w:hAnsi="Arial" w:cs="Arial"/>
          <w:color w:val="000000"/>
          <w:sz w:val="24"/>
          <w:szCs w:val="24"/>
          <w:lang w:eastAsia="en-GB"/>
        </w:rPr>
        <w:t xml:space="preserve">The draft </w:t>
      </w:r>
      <w:r w:rsidR="00342642" w:rsidRPr="00C50F39">
        <w:rPr>
          <w:rFonts w:ascii="Arial" w:eastAsia="Times New Roman" w:hAnsi="Arial" w:cs="Arial"/>
          <w:color w:val="000000"/>
          <w:sz w:val="24"/>
          <w:szCs w:val="24"/>
          <w:lang w:eastAsia="en-GB"/>
        </w:rPr>
        <w:t>C</w:t>
      </w:r>
      <w:r w:rsidRPr="00C50F39">
        <w:rPr>
          <w:rFonts w:ascii="Arial" w:eastAsia="Times New Roman" w:hAnsi="Arial" w:cs="Arial"/>
          <w:color w:val="000000"/>
          <w:sz w:val="24"/>
          <w:szCs w:val="24"/>
          <w:lang w:eastAsia="en-GB"/>
        </w:rPr>
        <w:t xml:space="preserve">ode </w:t>
      </w:r>
      <w:r w:rsidR="00342642" w:rsidRPr="00C50F39">
        <w:rPr>
          <w:rFonts w:ascii="Arial" w:eastAsia="Times New Roman" w:hAnsi="Arial" w:cs="Arial"/>
          <w:color w:val="000000"/>
          <w:sz w:val="24"/>
          <w:szCs w:val="24"/>
          <w:lang w:eastAsia="en-GB"/>
        </w:rPr>
        <w:t>of Practice and R</w:t>
      </w:r>
      <w:r w:rsidRPr="00C50F39">
        <w:rPr>
          <w:rFonts w:ascii="Arial" w:eastAsia="Times New Roman" w:hAnsi="Arial" w:cs="Arial"/>
          <w:color w:val="000000"/>
          <w:sz w:val="24"/>
          <w:szCs w:val="24"/>
          <w:lang w:eastAsia="en-GB"/>
        </w:rPr>
        <w:t>egulations are currently being considered against the proposed changes for CCGs and ICS by the DHSC</w:t>
      </w:r>
    </w:p>
    <w:p w14:paraId="59A91CA6" w14:textId="77777777" w:rsidR="006E7CDE" w:rsidRPr="005E677E" w:rsidRDefault="006E7CDE" w:rsidP="00E81E05">
      <w:pPr>
        <w:rPr>
          <w:rFonts w:ascii="Arial" w:hAnsi="Arial" w:cs="Arial"/>
        </w:rPr>
        <w:sectPr w:rsidR="006E7CDE" w:rsidRPr="005E677E" w:rsidSect="00E81E05">
          <w:headerReference w:type="default" r:id="rId13"/>
          <w:footerReference w:type="default" r:id="rId14"/>
          <w:pgSz w:w="11906" w:h="16838"/>
          <w:pgMar w:top="680" w:right="680" w:bottom="680" w:left="680" w:header="709" w:footer="709" w:gutter="0"/>
          <w:cols w:space="708"/>
          <w:docGrid w:linePitch="360"/>
        </w:sectPr>
      </w:pPr>
    </w:p>
    <w:p w14:paraId="735776F8" w14:textId="691ED794" w:rsidR="00E81E05" w:rsidRPr="005E677E" w:rsidRDefault="007F5651">
      <w:pPr>
        <w:spacing w:after="160" w:line="259" w:lineRule="auto"/>
        <w:rPr>
          <w:rFonts w:ascii="Arial" w:hAnsi="Arial" w:cs="Arial"/>
        </w:rPr>
      </w:pPr>
      <w:r>
        <w:rPr>
          <w:rFonts w:ascii="Arial" w:hAnsi="Arial" w:cs="Arial"/>
        </w:rPr>
        <w:lastRenderedPageBreak/>
        <w:t>Appendix 1</w:t>
      </w:r>
    </w:p>
    <w:p w14:paraId="7D7C03B9" w14:textId="26C08DBD" w:rsidR="00F47949" w:rsidRDefault="000C32B6" w:rsidP="00E81E05">
      <w:pPr>
        <w:rPr>
          <w:rFonts w:ascii="Arial" w:hAnsi="Arial" w:cs="Arial"/>
        </w:rPr>
      </w:pPr>
      <w:r>
        <w:rPr>
          <w:rFonts w:ascii="Arial" w:hAnsi="Arial" w:cs="Arial"/>
          <w:noProof/>
        </w:rPr>
        <w:drawing>
          <wp:inline distT="0" distB="0" distL="0" distR="0" wp14:anchorId="440A4907" wp14:editId="74E7FBFA">
            <wp:extent cx="6696710" cy="37528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tablerevised.bmp"/>
                    <pic:cNvPicPr/>
                  </pic:nvPicPr>
                  <pic:blipFill>
                    <a:blip r:embed="rId15">
                      <a:extLst>
                        <a:ext uri="{28A0092B-C50C-407E-A947-70E740481C1C}">
                          <a14:useLocalDpi xmlns:a14="http://schemas.microsoft.com/office/drawing/2010/main" val="0"/>
                        </a:ext>
                      </a:extLst>
                    </a:blip>
                    <a:stretch>
                      <a:fillRect/>
                    </a:stretch>
                  </pic:blipFill>
                  <pic:spPr>
                    <a:xfrm>
                      <a:off x="0" y="0"/>
                      <a:ext cx="6696710" cy="3752850"/>
                    </a:xfrm>
                    <a:prstGeom prst="rect">
                      <a:avLst/>
                    </a:prstGeom>
                  </pic:spPr>
                </pic:pic>
              </a:graphicData>
            </a:graphic>
          </wp:inline>
        </w:drawing>
      </w:r>
    </w:p>
    <w:p w14:paraId="366740E7" w14:textId="32319D3C" w:rsidR="00464B4C" w:rsidRDefault="00464B4C" w:rsidP="00E81E05">
      <w:pPr>
        <w:rPr>
          <w:rFonts w:ascii="Arial" w:hAnsi="Arial" w:cs="Arial"/>
        </w:rPr>
      </w:pPr>
    </w:p>
    <w:p w14:paraId="3469CCEE" w14:textId="59E7A0E6" w:rsidR="00464B4C" w:rsidRDefault="00464B4C" w:rsidP="00E81E05">
      <w:pPr>
        <w:rPr>
          <w:rFonts w:ascii="Arial" w:hAnsi="Arial" w:cs="Arial"/>
        </w:rPr>
      </w:pPr>
    </w:p>
    <w:p w14:paraId="26147A9D" w14:textId="7AB09174" w:rsidR="00464B4C" w:rsidRDefault="00464B4C" w:rsidP="00E81E05">
      <w:pPr>
        <w:rPr>
          <w:rFonts w:ascii="Arial" w:hAnsi="Arial" w:cs="Arial"/>
        </w:rPr>
      </w:pPr>
    </w:p>
    <w:p w14:paraId="3AD87AE1" w14:textId="1DEEE261" w:rsidR="00464B4C" w:rsidRDefault="00464B4C" w:rsidP="00E81E05">
      <w:pPr>
        <w:rPr>
          <w:rFonts w:ascii="Arial" w:hAnsi="Arial" w:cs="Arial"/>
          <w:noProof/>
        </w:rPr>
      </w:pPr>
    </w:p>
    <w:p w14:paraId="706F7881" w14:textId="7F6EE1D3" w:rsidR="00464B4C" w:rsidRDefault="00464B4C" w:rsidP="00E81E05">
      <w:pPr>
        <w:rPr>
          <w:rFonts w:ascii="Arial" w:hAnsi="Arial" w:cs="Arial"/>
          <w:noProof/>
        </w:rPr>
      </w:pPr>
    </w:p>
    <w:p w14:paraId="5BDA4A52" w14:textId="60621091" w:rsidR="00464B4C" w:rsidRDefault="00464B4C" w:rsidP="00E81E05">
      <w:pPr>
        <w:rPr>
          <w:rFonts w:ascii="Arial" w:hAnsi="Arial" w:cs="Arial"/>
          <w:noProof/>
        </w:rPr>
      </w:pPr>
    </w:p>
    <w:p w14:paraId="2D227048" w14:textId="1D3A3953" w:rsidR="00464B4C" w:rsidRDefault="00464B4C" w:rsidP="00E81E05">
      <w:pPr>
        <w:rPr>
          <w:rFonts w:ascii="Arial" w:hAnsi="Arial" w:cs="Arial"/>
          <w:noProof/>
        </w:rPr>
      </w:pPr>
    </w:p>
    <w:p w14:paraId="5DB5DD59" w14:textId="24F98204" w:rsidR="00464B4C" w:rsidRDefault="00464B4C" w:rsidP="00E81E05">
      <w:pPr>
        <w:rPr>
          <w:rFonts w:ascii="Arial" w:hAnsi="Arial" w:cs="Arial"/>
          <w:noProof/>
        </w:rPr>
      </w:pPr>
    </w:p>
    <w:p w14:paraId="12FD8F66" w14:textId="2472FB85" w:rsidR="00464B4C" w:rsidRDefault="00464B4C" w:rsidP="00E81E05">
      <w:pPr>
        <w:rPr>
          <w:rFonts w:ascii="Arial" w:hAnsi="Arial" w:cs="Arial"/>
          <w:noProof/>
        </w:rPr>
      </w:pPr>
    </w:p>
    <w:p w14:paraId="5DFA6849" w14:textId="6A7F926E" w:rsidR="00464B4C" w:rsidRDefault="00464B4C" w:rsidP="00E81E05">
      <w:pPr>
        <w:rPr>
          <w:rFonts w:ascii="Arial" w:hAnsi="Arial" w:cs="Arial"/>
          <w:noProof/>
        </w:rPr>
      </w:pPr>
    </w:p>
    <w:p w14:paraId="60C67B3B" w14:textId="77777777" w:rsidR="00FF534D" w:rsidRDefault="00FF534D" w:rsidP="00E81E05">
      <w:pPr>
        <w:rPr>
          <w:rFonts w:ascii="Arial" w:hAnsi="Arial" w:cs="Arial"/>
          <w:noProof/>
        </w:rPr>
      </w:pPr>
    </w:p>
    <w:p w14:paraId="11A954D9" w14:textId="77777777" w:rsidR="00FF534D" w:rsidRDefault="00464B4C" w:rsidP="00E81E05">
      <w:pPr>
        <w:rPr>
          <w:rFonts w:ascii="Arial" w:hAnsi="Arial" w:cs="Arial"/>
          <w:noProof/>
        </w:rPr>
      </w:pPr>
      <w:r>
        <w:rPr>
          <w:rFonts w:ascii="Arial" w:hAnsi="Arial" w:cs="Arial"/>
          <w:noProof/>
        </w:rPr>
        <w:lastRenderedPageBreak/>
        <w:t>Appendix 2</w:t>
      </w:r>
    </w:p>
    <w:p w14:paraId="62C906B9" w14:textId="05316AAB" w:rsidR="00464B4C" w:rsidRDefault="00F539FE" w:rsidP="00F539FE">
      <w:pPr>
        <w:jc w:val="center"/>
        <w:rPr>
          <w:rFonts w:ascii="Arial" w:hAnsi="Arial" w:cs="Arial"/>
        </w:rPr>
      </w:pPr>
      <w:r>
        <w:rPr>
          <w:rFonts w:ascii="Arial" w:hAnsi="Arial" w:cs="Arial"/>
          <w:noProof/>
        </w:rPr>
        <w:drawing>
          <wp:inline distT="0" distB="0" distL="0" distR="0" wp14:anchorId="5DCF48FA" wp14:editId="742F7F2D">
            <wp:extent cx="6565900" cy="563435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PStrgtriangle.png"/>
                    <pic:cNvPicPr/>
                  </pic:nvPicPr>
                  <pic:blipFill>
                    <a:blip r:embed="rId16">
                      <a:extLst>
                        <a:ext uri="{28A0092B-C50C-407E-A947-70E740481C1C}">
                          <a14:useLocalDpi xmlns:a14="http://schemas.microsoft.com/office/drawing/2010/main" val="0"/>
                        </a:ext>
                      </a:extLst>
                    </a:blip>
                    <a:stretch>
                      <a:fillRect/>
                    </a:stretch>
                  </pic:blipFill>
                  <pic:spPr>
                    <a:xfrm>
                      <a:off x="0" y="0"/>
                      <a:ext cx="6565900" cy="5634355"/>
                    </a:xfrm>
                    <a:prstGeom prst="rect">
                      <a:avLst/>
                    </a:prstGeom>
                  </pic:spPr>
                </pic:pic>
              </a:graphicData>
            </a:graphic>
          </wp:inline>
        </w:drawing>
      </w:r>
    </w:p>
    <w:p w14:paraId="760F63EF" w14:textId="77777777" w:rsidR="00F539FE" w:rsidRPr="00F35DFD" w:rsidRDefault="00F539FE" w:rsidP="00F539FE">
      <w:pPr>
        <w:tabs>
          <w:tab w:val="left" w:pos="1668"/>
        </w:tabs>
        <w:spacing w:after="160" w:line="259" w:lineRule="auto"/>
        <w:ind w:left="2268" w:hanging="2268"/>
        <w:rPr>
          <w:rFonts w:ascii="Calibri" w:eastAsia="Calibri" w:hAnsi="Calibri"/>
          <w:sz w:val="22"/>
          <w:szCs w:val="22"/>
          <w:lang w:eastAsia="en-US"/>
        </w:rPr>
      </w:pPr>
      <w:r w:rsidRPr="00F35DFD">
        <w:rPr>
          <w:rFonts w:ascii="Calibri" w:eastAsia="Calibri" w:hAnsi="Calibri"/>
          <w:b/>
          <w:bCs/>
          <w:sz w:val="22"/>
          <w:szCs w:val="22"/>
          <w:lang w:eastAsia="en-US"/>
        </w:rPr>
        <w:lastRenderedPageBreak/>
        <w:t xml:space="preserve">Competency Group A </w:t>
      </w:r>
      <w:r w:rsidRPr="00F35DFD">
        <w:rPr>
          <w:rFonts w:ascii="Calibri" w:eastAsia="Calibri" w:hAnsi="Calibri"/>
          <w:b/>
          <w:bCs/>
          <w:sz w:val="22"/>
          <w:szCs w:val="22"/>
          <w:lang w:eastAsia="en-US"/>
        </w:rPr>
        <w:tab/>
      </w:r>
      <w:r w:rsidRPr="00F35DFD">
        <w:rPr>
          <w:rFonts w:ascii="Calibri" w:eastAsia="Calibri" w:hAnsi="Calibri"/>
          <w:sz w:val="22"/>
          <w:szCs w:val="22"/>
          <w:lang w:eastAsia="en-US"/>
        </w:rPr>
        <w:t xml:space="preserve">All stakeholders in health, care, </w:t>
      </w:r>
      <w:proofErr w:type="gramStart"/>
      <w:r w:rsidRPr="00F35DFD">
        <w:rPr>
          <w:rFonts w:ascii="Calibri" w:eastAsia="Calibri" w:hAnsi="Calibri"/>
          <w:sz w:val="22"/>
          <w:szCs w:val="22"/>
          <w:lang w:eastAsia="en-US"/>
        </w:rPr>
        <w:t>education</w:t>
      </w:r>
      <w:proofErr w:type="gramEnd"/>
      <w:r w:rsidRPr="00F35DFD">
        <w:rPr>
          <w:rFonts w:ascii="Calibri" w:eastAsia="Calibri" w:hAnsi="Calibri"/>
          <w:sz w:val="22"/>
          <w:szCs w:val="22"/>
          <w:lang w:eastAsia="en-US"/>
        </w:rPr>
        <w:t xml:space="preserve"> and other services, who may encounter a person who might lack the capacity to consent to arrangements that may give rise to a deprivation of their liberty, and who require general awareness of the Liberty Protection Safeguards, the wider Mental Capacity Act.</w:t>
      </w:r>
    </w:p>
    <w:p w14:paraId="4779B90A" w14:textId="77777777" w:rsidR="00F539FE" w:rsidRPr="00F35DFD" w:rsidRDefault="00F539FE" w:rsidP="00F539FE">
      <w:pPr>
        <w:tabs>
          <w:tab w:val="left" w:pos="1668"/>
        </w:tabs>
        <w:spacing w:after="160" w:line="259" w:lineRule="auto"/>
        <w:ind w:left="2268" w:hanging="2268"/>
        <w:rPr>
          <w:rFonts w:ascii="Calibri" w:eastAsia="Calibri" w:hAnsi="Calibri"/>
          <w:sz w:val="22"/>
          <w:szCs w:val="22"/>
          <w:lang w:eastAsia="en-US"/>
        </w:rPr>
      </w:pPr>
      <w:r w:rsidRPr="00F35DFD">
        <w:rPr>
          <w:rFonts w:ascii="Calibri" w:eastAsia="Calibri" w:hAnsi="Calibri"/>
          <w:b/>
          <w:bCs/>
          <w:sz w:val="22"/>
          <w:szCs w:val="22"/>
          <w:lang w:eastAsia="en-US"/>
        </w:rPr>
        <w:t xml:space="preserve">Competency Group B </w:t>
      </w:r>
      <w:r w:rsidRPr="00F35DFD">
        <w:rPr>
          <w:rFonts w:ascii="Calibri" w:eastAsia="Calibri" w:hAnsi="Calibri"/>
          <w:b/>
          <w:bCs/>
          <w:sz w:val="22"/>
          <w:szCs w:val="22"/>
          <w:lang w:eastAsia="en-US"/>
        </w:rPr>
        <w:tab/>
      </w:r>
      <w:r w:rsidRPr="00F35DFD">
        <w:rPr>
          <w:rFonts w:ascii="Calibri" w:eastAsia="Calibri" w:hAnsi="Calibri"/>
          <w:sz w:val="22"/>
          <w:szCs w:val="22"/>
          <w:lang w:eastAsia="en-US"/>
        </w:rPr>
        <w:t xml:space="preserve">Supervisors and managers, who may need to identify when a person may be deprived of their liberty, so that authorisation may be required under the Liberty Protections </w:t>
      </w:r>
      <w:proofErr w:type="gramStart"/>
      <w:r w:rsidRPr="00F35DFD">
        <w:rPr>
          <w:rFonts w:ascii="Calibri" w:eastAsia="Calibri" w:hAnsi="Calibri"/>
          <w:sz w:val="22"/>
          <w:szCs w:val="22"/>
          <w:lang w:eastAsia="en-US"/>
        </w:rPr>
        <w:t>Safeguards, and</w:t>
      </w:r>
      <w:proofErr w:type="gramEnd"/>
      <w:r w:rsidRPr="00F35DFD">
        <w:rPr>
          <w:rFonts w:ascii="Calibri" w:eastAsia="Calibri" w:hAnsi="Calibri"/>
          <w:sz w:val="22"/>
          <w:szCs w:val="22"/>
          <w:lang w:eastAsia="en-US"/>
        </w:rPr>
        <w:t xml:space="preserve"> know how to make a referral for the relevant assessments to be done.</w:t>
      </w:r>
    </w:p>
    <w:p w14:paraId="23BCA028" w14:textId="77777777" w:rsidR="00F539FE" w:rsidRPr="00F35DFD" w:rsidRDefault="00F539FE" w:rsidP="00F539FE">
      <w:pPr>
        <w:tabs>
          <w:tab w:val="left" w:pos="1668"/>
        </w:tabs>
        <w:spacing w:after="160" w:line="259" w:lineRule="auto"/>
        <w:ind w:left="2268" w:hanging="2268"/>
        <w:rPr>
          <w:rFonts w:ascii="Calibri" w:eastAsia="Calibri" w:hAnsi="Calibri"/>
          <w:b/>
          <w:bCs/>
          <w:sz w:val="22"/>
          <w:szCs w:val="22"/>
          <w:lang w:eastAsia="en-US"/>
        </w:rPr>
      </w:pPr>
      <w:r w:rsidRPr="00F35DFD">
        <w:rPr>
          <w:rFonts w:ascii="Calibri" w:eastAsia="Calibri" w:hAnsi="Calibri"/>
          <w:b/>
          <w:bCs/>
          <w:sz w:val="22"/>
          <w:szCs w:val="22"/>
          <w:lang w:eastAsia="en-US"/>
        </w:rPr>
        <w:t>Competency Group C</w:t>
      </w:r>
      <w:r w:rsidRPr="00F35DFD">
        <w:rPr>
          <w:rFonts w:ascii="Calibri" w:eastAsia="Calibri" w:hAnsi="Calibri"/>
          <w:sz w:val="22"/>
          <w:szCs w:val="22"/>
          <w:lang w:eastAsia="en-US"/>
        </w:rPr>
        <w:tab/>
        <w:t xml:space="preserve">All roles that under the regulations might undertake assessments, </w:t>
      </w:r>
      <w:proofErr w:type="gramStart"/>
      <w:r w:rsidRPr="00F35DFD">
        <w:rPr>
          <w:rFonts w:ascii="Calibri" w:eastAsia="Calibri" w:hAnsi="Calibri"/>
          <w:sz w:val="22"/>
          <w:szCs w:val="22"/>
          <w:lang w:eastAsia="en-US"/>
        </w:rPr>
        <w:t>determinations</w:t>
      </w:r>
      <w:proofErr w:type="gramEnd"/>
      <w:r w:rsidRPr="00F35DFD">
        <w:rPr>
          <w:rFonts w:ascii="Calibri" w:eastAsia="Calibri" w:hAnsi="Calibri"/>
          <w:sz w:val="22"/>
          <w:szCs w:val="22"/>
          <w:lang w:eastAsia="en-US"/>
        </w:rPr>
        <w:t xml:space="preserve"> and consultation on behalf of a Responsible Body, within the Liberty Protection Safeguards process</w:t>
      </w:r>
    </w:p>
    <w:p w14:paraId="1658EB1C" w14:textId="77777777" w:rsidR="00F539FE" w:rsidRPr="00F35DFD" w:rsidRDefault="00F539FE" w:rsidP="00F539FE">
      <w:pPr>
        <w:tabs>
          <w:tab w:val="left" w:pos="1668"/>
        </w:tabs>
        <w:spacing w:after="160" w:line="259" w:lineRule="auto"/>
        <w:ind w:left="2268" w:hanging="2268"/>
        <w:rPr>
          <w:rFonts w:ascii="Calibri" w:eastAsia="Calibri" w:hAnsi="Calibri"/>
          <w:sz w:val="22"/>
          <w:szCs w:val="22"/>
          <w:lang w:eastAsia="en-US"/>
        </w:rPr>
      </w:pPr>
      <w:r w:rsidRPr="00F35DFD">
        <w:rPr>
          <w:rFonts w:ascii="Calibri" w:eastAsia="Calibri" w:hAnsi="Calibri"/>
          <w:b/>
          <w:bCs/>
          <w:sz w:val="22"/>
          <w:szCs w:val="22"/>
          <w:lang w:eastAsia="en-US"/>
        </w:rPr>
        <w:t>Competency Group D</w:t>
      </w:r>
      <w:r w:rsidRPr="00F35DFD">
        <w:rPr>
          <w:rFonts w:ascii="Calibri" w:eastAsia="Calibri" w:hAnsi="Calibri"/>
          <w:sz w:val="22"/>
          <w:szCs w:val="22"/>
          <w:lang w:eastAsia="en-US"/>
        </w:rPr>
        <w:tab/>
        <w:t>Managers in Responsible Bodies who might undertake Pre-authorisation Reviews or authorise deprivation of liberty under the Liberty Protections Safeguards on behalf of the Responsible Body</w:t>
      </w:r>
    </w:p>
    <w:p w14:paraId="6C405D12" w14:textId="77777777" w:rsidR="00F539FE" w:rsidRPr="00F35DFD" w:rsidRDefault="00F539FE" w:rsidP="00F539FE">
      <w:pPr>
        <w:tabs>
          <w:tab w:val="left" w:pos="1668"/>
        </w:tabs>
        <w:spacing w:after="160" w:line="259" w:lineRule="auto"/>
        <w:ind w:left="2268" w:hanging="2268"/>
        <w:rPr>
          <w:rFonts w:ascii="Calibri" w:eastAsia="Calibri" w:hAnsi="Calibri"/>
          <w:sz w:val="22"/>
          <w:szCs w:val="22"/>
          <w:lang w:eastAsia="en-US"/>
        </w:rPr>
      </w:pPr>
      <w:r w:rsidRPr="00F35DFD">
        <w:rPr>
          <w:rFonts w:ascii="Calibri" w:eastAsia="Calibri" w:hAnsi="Calibri"/>
          <w:b/>
          <w:bCs/>
          <w:sz w:val="22"/>
          <w:szCs w:val="22"/>
          <w:lang w:eastAsia="en-US"/>
        </w:rPr>
        <w:t>Competency Group E</w:t>
      </w:r>
      <w:r w:rsidRPr="00F35DFD">
        <w:rPr>
          <w:rFonts w:ascii="Calibri" w:eastAsia="Calibri" w:hAnsi="Calibri"/>
          <w:sz w:val="22"/>
          <w:szCs w:val="22"/>
          <w:lang w:eastAsia="en-US"/>
        </w:rPr>
        <w:tab/>
        <w:t>Existing and new Independent Mental Capacity Advocates (IMCAs)</w:t>
      </w:r>
    </w:p>
    <w:p w14:paraId="7C3F7BD0" w14:textId="77777777" w:rsidR="00F539FE" w:rsidRPr="00F35DFD" w:rsidRDefault="00F539FE" w:rsidP="00F539FE">
      <w:pPr>
        <w:tabs>
          <w:tab w:val="left" w:pos="1668"/>
        </w:tabs>
        <w:spacing w:after="160" w:line="259" w:lineRule="auto"/>
        <w:ind w:left="2268" w:hanging="2268"/>
        <w:rPr>
          <w:rFonts w:ascii="Calibri" w:eastAsia="Calibri" w:hAnsi="Calibri"/>
          <w:sz w:val="22"/>
          <w:szCs w:val="22"/>
          <w:lang w:eastAsia="en-US"/>
        </w:rPr>
      </w:pPr>
      <w:r w:rsidRPr="00F35DFD">
        <w:rPr>
          <w:rFonts w:ascii="Calibri" w:eastAsia="Calibri" w:hAnsi="Calibri"/>
          <w:b/>
          <w:bCs/>
          <w:sz w:val="22"/>
          <w:szCs w:val="22"/>
          <w:lang w:eastAsia="en-US"/>
        </w:rPr>
        <w:t xml:space="preserve">Competency Group </w:t>
      </w:r>
      <w:proofErr w:type="spellStart"/>
      <w:r w:rsidRPr="00F35DFD">
        <w:rPr>
          <w:rFonts w:ascii="Calibri" w:eastAsia="Calibri" w:hAnsi="Calibri"/>
          <w:b/>
          <w:bCs/>
          <w:sz w:val="22"/>
          <w:szCs w:val="22"/>
          <w:lang w:eastAsia="en-US"/>
        </w:rPr>
        <w:t>F</w:t>
      </w:r>
      <w:proofErr w:type="spellEnd"/>
      <w:r w:rsidRPr="00F35DFD">
        <w:rPr>
          <w:rFonts w:ascii="Calibri" w:eastAsia="Calibri" w:hAnsi="Calibri"/>
          <w:sz w:val="22"/>
          <w:szCs w:val="22"/>
          <w:lang w:eastAsia="en-US"/>
        </w:rPr>
        <w:tab/>
        <w:t xml:space="preserve">People who meet the requirements set out in regulations, to undertake full approved mental capacity professional (AMCP) training, or best </w:t>
      </w:r>
      <w:proofErr w:type="gramStart"/>
      <w:r w:rsidRPr="00F35DFD">
        <w:rPr>
          <w:rFonts w:ascii="Calibri" w:eastAsia="Calibri" w:hAnsi="Calibri"/>
          <w:sz w:val="22"/>
          <w:szCs w:val="22"/>
          <w:lang w:eastAsia="en-US"/>
        </w:rPr>
        <w:t>interests</w:t>
      </w:r>
      <w:proofErr w:type="gramEnd"/>
      <w:r w:rsidRPr="00F35DFD">
        <w:rPr>
          <w:rFonts w:ascii="Calibri" w:eastAsia="Calibri" w:hAnsi="Calibri"/>
          <w:sz w:val="22"/>
          <w:szCs w:val="22"/>
          <w:lang w:eastAsia="en-US"/>
        </w:rPr>
        <w:t xml:space="preserve"> assessor (BIA) to AMCP conversion training and to be approved as an AMCP by the relevant local authority (regardless of who employs them) in line with the relevant regulations.</w:t>
      </w:r>
    </w:p>
    <w:p w14:paraId="53D5D286" w14:textId="77777777" w:rsidR="00F539FE" w:rsidRPr="005E677E" w:rsidRDefault="00F539FE" w:rsidP="00F539FE">
      <w:pPr>
        <w:rPr>
          <w:rFonts w:ascii="Arial" w:hAnsi="Arial" w:cs="Arial"/>
        </w:rPr>
      </w:pPr>
    </w:p>
    <w:sectPr w:rsidR="00F539FE" w:rsidRPr="005E677E" w:rsidSect="00FF534D">
      <w:pgSz w:w="16838" w:h="11906" w:orient="landscape"/>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0F87" w14:textId="77777777" w:rsidR="001F273F" w:rsidRDefault="001F273F" w:rsidP="00F47949">
      <w:r>
        <w:separator/>
      </w:r>
    </w:p>
  </w:endnote>
  <w:endnote w:type="continuationSeparator" w:id="0">
    <w:p w14:paraId="3AB02BFB" w14:textId="77777777" w:rsidR="001F273F" w:rsidRDefault="001F273F" w:rsidP="00F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375844"/>
      <w:docPartObj>
        <w:docPartGallery w:val="Page Numbers (Bottom of Page)"/>
        <w:docPartUnique/>
      </w:docPartObj>
    </w:sdtPr>
    <w:sdtEndPr>
      <w:rPr>
        <w:noProof/>
      </w:rPr>
    </w:sdtEndPr>
    <w:sdtContent>
      <w:p w14:paraId="5879487C" w14:textId="16CFCA68" w:rsidR="00862850" w:rsidRDefault="00862850">
        <w:pPr>
          <w:pStyle w:val="Footer"/>
          <w:jc w:val="center"/>
        </w:pPr>
        <w:r>
          <w:fldChar w:fldCharType="begin"/>
        </w:r>
        <w:r>
          <w:instrText xml:space="preserve"> PAGE   \* MERGEFORMAT </w:instrText>
        </w:r>
        <w:r>
          <w:fldChar w:fldCharType="separate"/>
        </w:r>
        <w:r w:rsidR="005011D6">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833915"/>
      <w:docPartObj>
        <w:docPartGallery w:val="Page Numbers (Bottom of Page)"/>
        <w:docPartUnique/>
      </w:docPartObj>
    </w:sdtPr>
    <w:sdtEndPr>
      <w:rPr>
        <w:noProof/>
      </w:rPr>
    </w:sdtEndPr>
    <w:sdtContent>
      <w:p w14:paraId="771C1F28" w14:textId="100BBDDB" w:rsidR="00CA571C" w:rsidRDefault="00CA571C">
        <w:pPr>
          <w:pStyle w:val="Footer"/>
          <w:jc w:val="right"/>
        </w:pPr>
        <w:r>
          <w:fldChar w:fldCharType="begin"/>
        </w:r>
        <w:r>
          <w:instrText xml:space="preserve"> PAGE   \* MERGEFORMAT </w:instrText>
        </w:r>
        <w:r>
          <w:fldChar w:fldCharType="separate"/>
        </w:r>
        <w:r w:rsidR="005011D6">
          <w:rPr>
            <w:noProof/>
          </w:rPr>
          <w:t>4</w:t>
        </w:r>
        <w:r>
          <w:rPr>
            <w:noProof/>
          </w:rPr>
          <w:fldChar w:fldCharType="end"/>
        </w:r>
      </w:p>
    </w:sdtContent>
  </w:sdt>
  <w:p w14:paraId="3843DE77" w14:textId="58DFF99B" w:rsidR="00E81E05" w:rsidRDefault="00E81E05" w:rsidP="00753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897A" w14:textId="77777777" w:rsidR="001F273F" w:rsidRDefault="001F273F" w:rsidP="00F47949">
      <w:r>
        <w:separator/>
      </w:r>
    </w:p>
  </w:footnote>
  <w:footnote w:type="continuationSeparator" w:id="0">
    <w:p w14:paraId="784BF22C" w14:textId="77777777" w:rsidR="001F273F" w:rsidRDefault="001F273F" w:rsidP="00F47949">
      <w:r>
        <w:continuationSeparator/>
      </w:r>
    </w:p>
  </w:footnote>
  <w:footnote w:id="1">
    <w:p w14:paraId="15313BA0" w14:textId="3EE334A6" w:rsidR="00E23267" w:rsidRDefault="00E23267">
      <w:pPr>
        <w:pStyle w:val="FootnoteText"/>
      </w:pPr>
      <w:r>
        <w:rPr>
          <w:rStyle w:val="FootnoteReference"/>
        </w:rPr>
        <w:footnoteRef/>
      </w:r>
      <w:r>
        <w:t xml:space="preserve"> </w:t>
      </w:r>
      <w:r w:rsidRPr="00E23267">
        <w:t>https://www.gov.uk/government/publications/impact-assessment-of-the-mental-capacity-amendment-act-2019</w:t>
      </w:r>
      <w:r>
        <w:t xml:space="preserve"> </w:t>
      </w:r>
    </w:p>
  </w:footnote>
  <w:footnote w:id="2">
    <w:p w14:paraId="49C2E9AD" w14:textId="77777777" w:rsidR="007F5651" w:rsidRDefault="007F5651" w:rsidP="007F5651">
      <w:pPr>
        <w:pStyle w:val="FootnoteText"/>
      </w:pPr>
      <w:r>
        <w:rPr>
          <w:rStyle w:val="FootnoteReference"/>
        </w:rPr>
        <w:footnoteRef/>
      </w:r>
      <w:r>
        <w:t xml:space="preserve"> The exception to this is private hospitals where the Local authority will continue to be responsible body for authorising LPS. Currently this is likely to include Hospices. </w:t>
      </w:r>
    </w:p>
  </w:footnote>
  <w:footnote w:id="3">
    <w:p w14:paraId="558B5DD3" w14:textId="77777777" w:rsidR="007F5651" w:rsidRDefault="007F5651" w:rsidP="007F5651">
      <w:pPr>
        <w:pStyle w:val="FootnoteText"/>
      </w:pPr>
      <w:r>
        <w:rPr>
          <w:rStyle w:val="FootnoteReference"/>
        </w:rPr>
        <w:footnoteRef/>
      </w:r>
      <w:r>
        <w:t xml:space="preserve"> </w:t>
      </w:r>
      <w:hyperlink r:id="rId1" w:history="1">
        <w:r>
          <w:rPr>
            <w:rStyle w:val="Hyperlink"/>
          </w:rPr>
          <w:t>https://www.mentalcapacitylawandpolicy.org.uk/re-d-the-supreme-court-16-17-year-olds-and-confinement/</w:t>
        </w:r>
      </w:hyperlink>
    </w:p>
  </w:footnote>
  <w:footnote w:id="4">
    <w:p w14:paraId="07849744" w14:textId="601C679E" w:rsidR="000E721B" w:rsidRDefault="000E721B">
      <w:pPr>
        <w:pStyle w:val="FootnoteText"/>
      </w:pPr>
      <w:r>
        <w:rPr>
          <w:rStyle w:val="FootnoteReference"/>
        </w:rPr>
        <w:footnoteRef/>
      </w:r>
      <w:r>
        <w:t xml:space="preserve"> There may equally be some cases of a child under the age of 16 for whom a </w:t>
      </w:r>
      <w:proofErr w:type="spellStart"/>
      <w:r>
        <w:t>DoL</w:t>
      </w:r>
      <w:proofErr w:type="spellEnd"/>
      <w:r>
        <w:t xml:space="preserve"> can only be made lawful by the Court and an application must be made urgently.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414F" w14:textId="7BC57F0C" w:rsidR="00F47949" w:rsidRDefault="00F539FE" w:rsidP="00F47949">
    <w:pPr>
      <w:pStyle w:val="Header"/>
      <w:jc w:val="right"/>
    </w:pPr>
    <w:r>
      <w:rPr>
        <w:noProof/>
        <w:lang w:eastAsia="en-GB"/>
      </w:rPr>
      <w:drawing>
        <wp:inline distT="0" distB="0" distL="0" distR="0" wp14:anchorId="606A1EE3" wp14:editId="00F61663">
          <wp:extent cx="1329055" cy="7131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713105"/>
                  </a:xfrm>
                  <a:prstGeom prst="rect">
                    <a:avLst/>
                  </a:prstGeom>
                  <a:noFill/>
                </pic:spPr>
              </pic:pic>
            </a:graphicData>
          </a:graphic>
        </wp:inline>
      </w:drawing>
    </w:r>
  </w:p>
  <w:p w14:paraId="5A5B1F62" w14:textId="6EC8879C" w:rsidR="00F47949" w:rsidRDefault="006E1B1E">
    <w:pPr>
      <w:pStyle w:val="Header"/>
    </w:pPr>
    <w:r>
      <w:rPr>
        <w:noProof/>
        <w:lang w:eastAsia="en-GB"/>
      </w:rPr>
      <w:drawing>
        <wp:anchor distT="0" distB="0" distL="114300" distR="114300" simplePos="0" relativeHeight="251657216" behindDoc="1" locked="0" layoutInCell="1" allowOverlap="1" wp14:anchorId="7D4EAC54" wp14:editId="798961CC">
          <wp:simplePos x="0" y="0"/>
          <wp:positionH relativeFrom="page">
            <wp:posOffset>-237490</wp:posOffset>
          </wp:positionH>
          <wp:positionV relativeFrom="page">
            <wp:posOffset>4630420</wp:posOffset>
          </wp:positionV>
          <wp:extent cx="5878800" cy="5878800"/>
          <wp:effectExtent l="0" t="0" r="0"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Pentagon_x1.pn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5878800" cy="587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C6EF" w14:textId="66DBC35F" w:rsidR="00E81E05" w:rsidRDefault="00AF5807" w:rsidP="00F47949">
    <w:pPr>
      <w:pStyle w:val="Header"/>
      <w:jc w:val="right"/>
    </w:pPr>
    <w:sdt>
      <w:sdtPr>
        <w:id w:val="254718153"/>
        <w:docPartObj>
          <w:docPartGallery w:val="Watermarks"/>
          <w:docPartUnique/>
        </w:docPartObj>
      </w:sdtPr>
      <w:sdtEndPr/>
      <w:sdtContent>
        <w:r>
          <w:rPr>
            <w:noProof/>
            <w:lang w:val="en-US"/>
          </w:rPr>
          <w:pict w14:anchorId="30B5D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6D9F">
      <w:t>Ver 1.</w:t>
    </w:r>
    <w:r w:rsidR="005011D6">
      <w:t>7</w:t>
    </w:r>
  </w:p>
  <w:p w14:paraId="06D5814A" w14:textId="4575F25F" w:rsidR="00E81E05" w:rsidRDefault="00E8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BC2"/>
    <w:multiLevelType w:val="hybridMultilevel"/>
    <w:tmpl w:val="CA64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730F6"/>
    <w:multiLevelType w:val="hybridMultilevel"/>
    <w:tmpl w:val="2A2EA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E42BF4"/>
    <w:multiLevelType w:val="hybridMultilevel"/>
    <w:tmpl w:val="DA826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770D2"/>
    <w:multiLevelType w:val="hybridMultilevel"/>
    <w:tmpl w:val="F61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56DDD"/>
    <w:multiLevelType w:val="hybridMultilevel"/>
    <w:tmpl w:val="2150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F47949"/>
    <w:rsid w:val="00024286"/>
    <w:rsid w:val="00044D4B"/>
    <w:rsid w:val="00045FBA"/>
    <w:rsid w:val="000C32B6"/>
    <w:rsid w:val="000D0960"/>
    <w:rsid w:val="000D4479"/>
    <w:rsid w:val="000E0BD4"/>
    <w:rsid w:val="000E721B"/>
    <w:rsid w:val="001216C7"/>
    <w:rsid w:val="00122FAA"/>
    <w:rsid w:val="00132E95"/>
    <w:rsid w:val="001332C8"/>
    <w:rsid w:val="001F273F"/>
    <w:rsid w:val="00210DE0"/>
    <w:rsid w:val="002179C4"/>
    <w:rsid w:val="00221091"/>
    <w:rsid w:val="00237BA8"/>
    <w:rsid w:val="00256872"/>
    <w:rsid w:val="002722C8"/>
    <w:rsid w:val="0027655E"/>
    <w:rsid w:val="002A47AC"/>
    <w:rsid w:val="002B40D1"/>
    <w:rsid w:val="002B69CB"/>
    <w:rsid w:val="003129F6"/>
    <w:rsid w:val="00333B50"/>
    <w:rsid w:val="00342642"/>
    <w:rsid w:val="003458F5"/>
    <w:rsid w:val="003652E2"/>
    <w:rsid w:val="003925EE"/>
    <w:rsid w:val="003A36BA"/>
    <w:rsid w:val="003A4614"/>
    <w:rsid w:val="003E5F60"/>
    <w:rsid w:val="0040154D"/>
    <w:rsid w:val="0042044F"/>
    <w:rsid w:val="00464B4C"/>
    <w:rsid w:val="004E450F"/>
    <w:rsid w:val="004F1D26"/>
    <w:rsid w:val="005011D6"/>
    <w:rsid w:val="00511972"/>
    <w:rsid w:val="00553CE3"/>
    <w:rsid w:val="005748C9"/>
    <w:rsid w:val="005763C8"/>
    <w:rsid w:val="005A7514"/>
    <w:rsid w:val="005B39C5"/>
    <w:rsid w:val="005E677E"/>
    <w:rsid w:val="005F0B65"/>
    <w:rsid w:val="00605C23"/>
    <w:rsid w:val="0067364D"/>
    <w:rsid w:val="00673F16"/>
    <w:rsid w:val="00683536"/>
    <w:rsid w:val="006B4AA0"/>
    <w:rsid w:val="006C2AF6"/>
    <w:rsid w:val="006C4255"/>
    <w:rsid w:val="006C71E6"/>
    <w:rsid w:val="006E1B1E"/>
    <w:rsid w:val="006E7CDE"/>
    <w:rsid w:val="00714DE2"/>
    <w:rsid w:val="00741830"/>
    <w:rsid w:val="00753B8C"/>
    <w:rsid w:val="007A47DA"/>
    <w:rsid w:val="007E66C0"/>
    <w:rsid w:val="007F5651"/>
    <w:rsid w:val="00807A18"/>
    <w:rsid w:val="008231B2"/>
    <w:rsid w:val="00837FA0"/>
    <w:rsid w:val="00840F6D"/>
    <w:rsid w:val="00862850"/>
    <w:rsid w:val="00864F92"/>
    <w:rsid w:val="00894303"/>
    <w:rsid w:val="0089433E"/>
    <w:rsid w:val="008A2F00"/>
    <w:rsid w:val="008A6C50"/>
    <w:rsid w:val="008E02A9"/>
    <w:rsid w:val="008E6598"/>
    <w:rsid w:val="00931A9A"/>
    <w:rsid w:val="0093594D"/>
    <w:rsid w:val="00937A4C"/>
    <w:rsid w:val="00942E88"/>
    <w:rsid w:val="00944473"/>
    <w:rsid w:val="0095622E"/>
    <w:rsid w:val="0096665F"/>
    <w:rsid w:val="00975D62"/>
    <w:rsid w:val="00982AC7"/>
    <w:rsid w:val="00990CA5"/>
    <w:rsid w:val="009D2F91"/>
    <w:rsid w:val="009E4128"/>
    <w:rsid w:val="009F3C4B"/>
    <w:rsid w:val="00A22C74"/>
    <w:rsid w:val="00A52ACE"/>
    <w:rsid w:val="00A60040"/>
    <w:rsid w:val="00A91314"/>
    <w:rsid w:val="00AC6D9F"/>
    <w:rsid w:val="00AD3671"/>
    <w:rsid w:val="00AE5B92"/>
    <w:rsid w:val="00AF5807"/>
    <w:rsid w:val="00B03888"/>
    <w:rsid w:val="00B625F6"/>
    <w:rsid w:val="00B70912"/>
    <w:rsid w:val="00B85713"/>
    <w:rsid w:val="00B950C7"/>
    <w:rsid w:val="00BD739D"/>
    <w:rsid w:val="00C15D25"/>
    <w:rsid w:val="00C4024E"/>
    <w:rsid w:val="00C50F39"/>
    <w:rsid w:val="00C60AFC"/>
    <w:rsid w:val="00CA571C"/>
    <w:rsid w:val="00CB1D2A"/>
    <w:rsid w:val="00CE5F9A"/>
    <w:rsid w:val="00CE6B13"/>
    <w:rsid w:val="00CF718C"/>
    <w:rsid w:val="00D31EBB"/>
    <w:rsid w:val="00D417EE"/>
    <w:rsid w:val="00D87330"/>
    <w:rsid w:val="00DA10AF"/>
    <w:rsid w:val="00DE442A"/>
    <w:rsid w:val="00E23267"/>
    <w:rsid w:val="00E2763B"/>
    <w:rsid w:val="00E81E05"/>
    <w:rsid w:val="00EF4D19"/>
    <w:rsid w:val="00EF5F51"/>
    <w:rsid w:val="00F13D82"/>
    <w:rsid w:val="00F41CBA"/>
    <w:rsid w:val="00F47949"/>
    <w:rsid w:val="00F539FE"/>
    <w:rsid w:val="00F56E0E"/>
    <w:rsid w:val="00FB0C39"/>
    <w:rsid w:val="00FD57FA"/>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5C15AD"/>
  <w15:docId w15:val="{2648C705-3E28-443D-A928-9020008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C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4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47949"/>
  </w:style>
  <w:style w:type="paragraph" w:styleId="Footer">
    <w:name w:val="footer"/>
    <w:basedOn w:val="Normal"/>
    <w:link w:val="FooterChar"/>
    <w:uiPriority w:val="99"/>
    <w:unhideWhenUsed/>
    <w:rsid w:val="00F4794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47949"/>
  </w:style>
  <w:style w:type="character" w:styleId="Hyperlink">
    <w:name w:val="Hyperlink"/>
    <w:basedOn w:val="DefaultParagraphFont"/>
    <w:uiPriority w:val="99"/>
    <w:unhideWhenUsed/>
    <w:rsid w:val="002722C8"/>
    <w:rPr>
      <w:color w:val="0563C1" w:themeColor="hyperlink"/>
      <w:u w:val="single"/>
    </w:rPr>
  </w:style>
  <w:style w:type="paragraph" w:styleId="BalloonText">
    <w:name w:val="Balloon Text"/>
    <w:basedOn w:val="Normal"/>
    <w:link w:val="BalloonTextChar"/>
    <w:uiPriority w:val="99"/>
    <w:semiHidden/>
    <w:unhideWhenUsed/>
    <w:rsid w:val="0057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C9"/>
    <w:rPr>
      <w:rFonts w:ascii="Segoe UI" w:hAnsi="Segoe UI" w:cs="Segoe UI"/>
      <w:sz w:val="18"/>
      <w:szCs w:val="18"/>
      <w:lang w:eastAsia="en-GB"/>
    </w:rPr>
  </w:style>
  <w:style w:type="table" w:styleId="TableGrid">
    <w:name w:val="Table Grid"/>
    <w:basedOn w:val="TableNormal"/>
    <w:uiPriority w:val="39"/>
    <w:rsid w:val="007F5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651"/>
    <w:pPr>
      <w:spacing w:after="160" w:line="259" w:lineRule="auto"/>
      <w:ind w:left="720"/>
      <w:contextualSpacing/>
    </w:pPr>
    <w:rPr>
      <w:rFonts w:ascii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7F5651"/>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F5651"/>
    <w:rPr>
      <w:sz w:val="20"/>
      <w:szCs w:val="20"/>
    </w:rPr>
  </w:style>
  <w:style w:type="character" w:styleId="FootnoteReference">
    <w:name w:val="footnote reference"/>
    <w:basedOn w:val="DefaultParagraphFont"/>
    <w:uiPriority w:val="99"/>
    <w:semiHidden/>
    <w:unhideWhenUsed/>
    <w:rsid w:val="007F5651"/>
    <w:rPr>
      <w:vertAlign w:val="superscript"/>
    </w:rPr>
  </w:style>
  <w:style w:type="character" w:styleId="CommentReference">
    <w:name w:val="annotation reference"/>
    <w:basedOn w:val="DefaultParagraphFont"/>
    <w:uiPriority w:val="99"/>
    <w:semiHidden/>
    <w:unhideWhenUsed/>
    <w:rsid w:val="0095622E"/>
    <w:rPr>
      <w:sz w:val="16"/>
      <w:szCs w:val="16"/>
    </w:rPr>
  </w:style>
  <w:style w:type="paragraph" w:styleId="CommentText">
    <w:name w:val="annotation text"/>
    <w:basedOn w:val="Normal"/>
    <w:link w:val="CommentTextChar"/>
    <w:uiPriority w:val="99"/>
    <w:semiHidden/>
    <w:unhideWhenUsed/>
    <w:rsid w:val="0095622E"/>
    <w:rPr>
      <w:sz w:val="20"/>
      <w:szCs w:val="20"/>
    </w:rPr>
  </w:style>
  <w:style w:type="character" w:customStyle="1" w:styleId="CommentTextChar">
    <w:name w:val="Comment Text Char"/>
    <w:basedOn w:val="DefaultParagraphFont"/>
    <w:link w:val="CommentText"/>
    <w:uiPriority w:val="99"/>
    <w:semiHidden/>
    <w:rsid w:val="0095622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622E"/>
    <w:rPr>
      <w:b/>
      <w:bCs/>
    </w:rPr>
  </w:style>
  <w:style w:type="character" w:customStyle="1" w:styleId="CommentSubjectChar">
    <w:name w:val="Comment Subject Char"/>
    <w:basedOn w:val="CommentTextChar"/>
    <w:link w:val="CommentSubject"/>
    <w:uiPriority w:val="99"/>
    <w:semiHidden/>
    <w:rsid w:val="0095622E"/>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2461">
      <w:bodyDiv w:val="1"/>
      <w:marLeft w:val="0"/>
      <w:marRight w:val="0"/>
      <w:marTop w:val="0"/>
      <w:marBottom w:val="0"/>
      <w:divBdr>
        <w:top w:val="none" w:sz="0" w:space="0" w:color="auto"/>
        <w:left w:val="none" w:sz="0" w:space="0" w:color="auto"/>
        <w:bottom w:val="none" w:sz="0" w:space="0" w:color="auto"/>
        <w:right w:val="none" w:sz="0" w:space="0" w:color="auto"/>
      </w:divBdr>
    </w:div>
    <w:div w:id="1063143632">
      <w:bodyDiv w:val="1"/>
      <w:marLeft w:val="0"/>
      <w:marRight w:val="0"/>
      <w:marTop w:val="0"/>
      <w:marBottom w:val="0"/>
      <w:divBdr>
        <w:top w:val="none" w:sz="0" w:space="0" w:color="auto"/>
        <w:left w:val="none" w:sz="0" w:space="0" w:color="auto"/>
        <w:bottom w:val="none" w:sz="0" w:space="0" w:color="auto"/>
        <w:right w:val="none" w:sz="0" w:space="0" w:color="auto"/>
      </w:divBdr>
    </w:div>
    <w:div w:id="1367215457">
      <w:bodyDiv w:val="1"/>
      <w:marLeft w:val="0"/>
      <w:marRight w:val="0"/>
      <w:marTop w:val="0"/>
      <w:marBottom w:val="0"/>
      <w:divBdr>
        <w:top w:val="none" w:sz="0" w:space="0" w:color="auto"/>
        <w:left w:val="none" w:sz="0" w:space="0" w:color="auto"/>
        <w:bottom w:val="none" w:sz="0" w:space="0" w:color="auto"/>
        <w:right w:val="none" w:sz="0" w:space="0" w:color="auto"/>
      </w:divBdr>
    </w:div>
    <w:div w:id="1504977316">
      <w:bodyDiv w:val="1"/>
      <w:marLeft w:val="0"/>
      <w:marRight w:val="0"/>
      <w:marTop w:val="0"/>
      <w:marBottom w:val="0"/>
      <w:divBdr>
        <w:top w:val="none" w:sz="0" w:space="0" w:color="auto"/>
        <w:left w:val="none" w:sz="0" w:space="0" w:color="auto"/>
        <w:bottom w:val="none" w:sz="0" w:space="0" w:color="auto"/>
        <w:right w:val="none" w:sz="0" w:space="0" w:color="auto"/>
      </w:divBdr>
    </w:div>
    <w:div w:id="1609701150">
      <w:bodyDiv w:val="1"/>
      <w:marLeft w:val="0"/>
      <w:marRight w:val="0"/>
      <w:marTop w:val="0"/>
      <w:marBottom w:val="0"/>
      <w:divBdr>
        <w:top w:val="none" w:sz="0" w:space="0" w:color="auto"/>
        <w:left w:val="none" w:sz="0" w:space="0" w:color="auto"/>
        <w:bottom w:val="none" w:sz="0" w:space="0" w:color="auto"/>
        <w:right w:val="none" w:sz="0" w:space="0" w:color="auto"/>
      </w:divBdr>
    </w:div>
    <w:div w:id="17458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ntalcapacitylawandpolicy.org.uk/re-d-the-supreme-court-16-17-year-olds-and-confin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60BE3-1128-41D8-8205-0522FF18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2252</Words>
  <Characters>12842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Winona Harrod</dc:creator>
  <cp:lastModifiedBy>JOYSURY, Chantelle (WHITTINGTON HEALTH NHS TRUST)</cp:lastModifiedBy>
  <cp:revision>2</cp:revision>
  <cp:lastPrinted>2016-03-03T17:00:00Z</cp:lastPrinted>
  <dcterms:created xsi:type="dcterms:W3CDTF">2021-05-13T09:46:00Z</dcterms:created>
  <dcterms:modified xsi:type="dcterms:W3CDTF">2021-05-13T09:46:00Z</dcterms:modified>
</cp:coreProperties>
</file>